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75FF5C">
      <w:pPr>
        <w:rPr>
          <w:rFonts w:ascii="Times New Roman" w:hAnsi="Times New Roman"/>
        </w:rPr>
      </w:pPr>
      <w:bookmarkStart w:id="0" w:name="_Toc15396597"/>
      <w:bookmarkStart w:id="1" w:name="_Toc15377425"/>
      <w:bookmarkStart w:id="2" w:name="_Toc15378441"/>
      <w:bookmarkStart w:id="3" w:name="_Toc15377193"/>
      <w:bookmarkStart w:id="4" w:name="_Toc15396475"/>
      <w:bookmarkStart w:id="5" w:name="_Toc15306267"/>
    </w:p>
    <w:p w14:paraId="52DC32AE">
      <w:pPr>
        <w:pStyle w:val="2"/>
        <w:jc w:val="center"/>
        <w:rPr>
          <w:rFonts w:hint="eastAsia" w:ascii="Times New Roman" w:hAnsi="Times New Roman" w:eastAsia="方正小标宋简体" w:cs="Times New Roman"/>
          <w:color w:val="auto"/>
          <w:kern w:val="2"/>
          <w:sz w:val="44"/>
          <w:szCs w:val="44"/>
          <w:highlight w:val="none"/>
          <w:lang w:val="en-US" w:eastAsia="zh-CN" w:bidi="ar-SA"/>
        </w:rPr>
      </w:pPr>
    </w:p>
    <w:p w14:paraId="7760684B">
      <w:pPr>
        <w:pStyle w:val="2"/>
        <w:jc w:val="center"/>
        <w:rPr>
          <w:rFonts w:hint="eastAsia" w:ascii="Times New Roman" w:hAnsi="Times New Roman" w:eastAsia="方正小标宋简体" w:cs="Times New Roman"/>
          <w:color w:val="auto"/>
          <w:kern w:val="2"/>
          <w:sz w:val="44"/>
          <w:szCs w:val="44"/>
          <w:highlight w:val="none"/>
          <w:lang w:val="en-US" w:eastAsia="zh-CN" w:bidi="ar-SA"/>
        </w:rPr>
      </w:pPr>
    </w:p>
    <w:p w14:paraId="2BD27FDD">
      <w:pPr>
        <w:pStyle w:val="2"/>
        <w:jc w:val="center"/>
        <w:rPr>
          <w:rFonts w:hint="eastAsia" w:ascii="Times New Roman" w:hAnsi="Times New Roman" w:eastAsia="方正小标宋简体" w:cs="Times New Roman"/>
          <w:color w:val="auto"/>
          <w:kern w:val="2"/>
          <w:sz w:val="44"/>
          <w:szCs w:val="44"/>
          <w:highlight w:val="none"/>
          <w:lang w:val="en-US" w:eastAsia="zh-CN" w:bidi="ar-SA"/>
        </w:rPr>
      </w:pPr>
    </w:p>
    <w:p w14:paraId="6E8BB266">
      <w:pPr>
        <w:pStyle w:val="2"/>
        <w:jc w:val="center"/>
        <w:rPr>
          <w:rFonts w:hint="eastAsia" w:ascii="Times New Roman" w:hAnsi="Times New Roman" w:eastAsia="方正小标宋简体" w:cs="Times New Roman"/>
          <w:color w:val="auto"/>
          <w:kern w:val="2"/>
          <w:sz w:val="44"/>
          <w:szCs w:val="44"/>
          <w:highlight w:val="none"/>
          <w:lang w:val="en-US" w:eastAsia="zh-CN" w:bidi="ar-SA"/>
        </w:rPr>
      </w:pPr>
    </w:p>
    <w:bookmarkEnd w:id="0"/>
    <w:bookmarkEnd w:id="1"/>
    <w:bookmarkEnd w:id="2"/>
    <w:bookmarkEnd w:id="3"/>
    <w:bookmarkEnd w:id="4"/>
    <w:p w14:paraId="471B1FAF">
      <w:pPr>
        <w:pStyle w:val="2"/>
        <w:jc w:val="center"/>
        <w:rPr>
          <w:rFonts w:hint="eastAsia" w:ascii="Times New Roman" w:hAnsi="Times New Roman" w:eastAsia="方正小标宋简体" w:cs="Times New Roman"/>
          <w:color w:val="auto"/>
          <w:kern w:val="2"/>
          <w:sz w:val="44"/>
          <w:szCs w:val="44"/>
          <w:highlight w:val="none"/>
          <w:lang w:val="en-US" w:eastAsia="zh-CN" w:bidi="ar-SA"/>
        </w:rPr>
        <w:sectPr>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pPr>
      <w:bookmarkStart w:id="6" w:name="_Toc15396598"/>
      <w:bookmarkStart w:id="7" w:name="_Toc15377426"/>
      <w:bookmarkStart w:id="8" w:name="_Toc15378442"/>
      <w:bookmarkStart w:id="9" w:name="_Toc15377194"/>
      <w:bookmarkStart w:id="10" w:name="_Toc15396476"/>
      <w:r>
        <w:rPr>
          <w:rFonts w:hint="eastAsia" w:ascii="Times New Roman" w:eastAsia="方正小标宋简体" w:cs="Times New Roman"/>
          <w:color w:val="auto"/>
          <w:kern w:val="2"/>
          <w:sz w:val="44"/>
          <w:szCs w:val="44"/>
          <w:highlight w:val="none"/>
          <w:lang w:val="en-US" w:eastAsia="zh-CN" w:bidi="ar-SA"/>
        </w:rPr>
        <w:t>2025年度</w:t>
      </w:r>
      <w:bookmarkEnd w:id="5"/>
      <w:bookmarkStart w:id="11" w:name="_Toc15306268"/>
      <w:r>
        <w:rPr>
          <w:rFonts w:hint="eastAsia" w:ascii="Times New Roman" w:hAnsi="Times New Roman" w:eastAsia="方正小标宋简体" w:cs="Times New Roman"/>
          <w:color w:val="auto"/>
          <w:kern w:val="2"/>
          <w:sz w:val="44"/>
          <w:szCs w:val="44"/>
          <w:highlight w:val="none"/>
          <w:lang w:val="en-US" w:eastAsia="zh-CN" w:bidi="ar-SA"/>
        </w:rPr>
        <w:t>九三学社四川省委员会部门决算</w:t>
      </w:r>
      <w:bookmarkEnd w:id="6"/>
      <w:bookmarkEnd w:id="7"/>
      <w:bookmarkEnd w:id="8"/>
      <w:bookmarkEnd w:id="9"/>
      <w:bookmarkEnd w:id="10"/>
      <w:bookmarkEnd w:id="11"/>
    </w:p>
    <w:sdt>
      <w:sdtPr>
        <w:rPr>
          <w:rFonts w:ascii="宋体" w:hAnsi="宋体" w:eastAsia="宋体" w:cs="Times New Roman"/>
          <w:kern w:val="2"/>
          <w:sz w:val="21"/>
          <w:szCs w:val="24"/>
          <w:lang w:val="en-US" w:eastAsia="zh-CN" w:bidi="ar-SA"/>
        </w:rPr>
        <w:id w:val="147476376"/>
        <w15:color w:val="DBDBDB"/>
        <w:docPartObj>
          <w:docPartGallery w:val="Table of Contents"/>
          <w:docPartUnique/>
        </w:docPartObj>
      </w:sdtPr>
      <w:sdtEndPr>
        <w:rPr>
          <w:rFonts w:hint="eastAsia" w:ascii="Times New Roman" w:hAnsi="Times New Roman" w:eastAsia="方正小标宋简体" w:cs="Times New Roman"/>
          <w:color w:val="auto"/>
          <w:kern w:val="2"/>
          <w:sz w:val="30"/>
          <w:szCs w:val="44"/>
          <w:highlight w:val="none"/>
          <w:lang w:val="en-US" w:eastAsia="zh-CN" w:bidi="ar-SA"/>
        </w:rPr>
      </w:sdtEndPr>
      <w:sdtContent>
        <w:p w14:paraId="12AFB6F4">
          <w:pPr>
            <w:spacing w:before="0" w:beforeLines="0" w:after="0" w:afterLines="0" w:line="240" w:lineRule="auto"/>
            <w:ind w:left="0" w:leftChars="0" w:right="0" w:rightChars="0" w:firstLine="0" w:firstLineChars="0"/>
            <w:jc w:val="center"/>
            <w:rPr>
              <w:rFonts w:hint="eastAsia"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14:paraId="5DC7195B">
          <w:pPr>
            <w:pStyle w:val="13"/>
            <w:rPr>
              <w:rFonts w:ascii="宋体" w:hAnsi="宋体" w:eastAsia="宋体"/>
              <w:sz w:val="21"/>
            </w:rPr>
          </w:pPr>
        </w:p>
        <w:p w14:paraId="29F1576E">
          <w:pPr>
            <w:pStyle w:val="7"/>
            <w:keepNext w:val="0"/>
            <w:keepLines w:val="0"/>
            <w:pageBreakBefore w:val="0"/>
            <w:widowControl w:val="0"/>
            <w:kinsoku/>
            <w:wordWrap/>
            <w:overflowPunct/>
            <w:topLinePunct w:val="0"/>
            <w:autoSpaceDE/>
            <w:autoSpaceDN/>
            <w:bidi w:val="0"/>
            <w:adjustRightInd/>
            <w:snapToGrid/>
            <w:spacing w:after="0"/>
            <w:ind w:leftChars="0" w:firstLine="0" w:firstLineChars="0"/>
            <w:jc w:val="center"/>
            <w:textAlignment w:val="auto"/>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26</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 xml:space="preserve"> 9 </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 xml:space="preserve"> 4 </w:t>
          </w:r>
          <w:r>
            <w:rPr>
              <w:rFonts w:hint="eastAsia" w:ascii="Times New Roman" w:hAnsi="Times New Roman" w:eastAsia="仿宋_GB2312" w:cs="仿宋_GB2312"/>
              <w:color w:val="auto"/>
              <w:sz w:val="32"/>
              <w:szCs w:val="32"/>
              <w:highlight w:val="none"/>
            </w:rPr>
            <w:t>日</w:t>
          </w:r>
        </w:p>
        <w:p w14:paraId="3A31C655">
          <w:pPr>
            <w:pStyle w:val="12"/>
            <w:tabs>
              <w:tab w:val="right" w:leader="dot" w:pos="8306"/>
              <w:tab w:val="clear" w:pos="8296"/>
            </w:tabs>
          </w:pPr>
          <w:r>
            <w:rPr>
              <w:rFonts w:hint="eastAsia" w:ascii="Times New Roman" w:hAnsi="Times New Roman" w:eastAsia="方正小标宋简体" w:cs="Times New Roman"/>
              <w:color w:val="auto"/>
              <w:kern w:val="2"/>
              <w:sz w:val="44"/>
              <w:szCs w:val="44"/>
              <w:highlight w:val="none"/>
              <w:lang w:val="en-US" w:eastAsia="zh-CN" w:bidi="ar-SA"/>
            </w:rPr>
            <w:fldChar w:fldCharType="begin"/>
          </w:r>
          <w:r>
            <w:rPr>
              <w:rFonts w:hint="eastAsia" w:ascii="Times New Roman" w:hAnsi="Times New Roman" w:eastAsia="方正小标宋简体" w:cs="Times New Roman"/>
              <w:color w:val="auto"/>
              <w:kern w:val="2"/>
              <w:sz w:val="44"/>
              <w:szCs w:val="44"/>
              <w:highlight w:val="none"/>
              <w:lang w:val="en-US" w:eastAsia="zh-CN" w:bidi="ar-SA"/>
            </w:rPr>
            <w:instrText xml:space="preserve">TOC \o "1-2" \h \u </w:instrText>
          </w:r>
          <w:r>
            <w:rPr>
              <w:rFonts w:hint="eastAsia" w:ascii="Times New Roman" w:hAnsi="Times New Roman" w:eastAsia="方正小标宋简体" w:cs="Times New Roman"/>
              <w:color w:val="auto"/>
              <w:kern w:val="2"/>
              <w:sz w:val="44"/>
              <w:szCs w:val="44"/>
              <w:highlight w:val="none"/>
              <w:lang w:val="en-US" w:eastAsia="zh-CN" w:bidi="ar-SA"/>
            </w:rPr>
            <w:fldChar w:fldCharType="separate"/>
          </w:r>
          <w:r>
            <w:rPr>
              <w:rFonts w:hint="eastAsia" w:ascii="黑体" w:hAnsi="黑体" w:eastAsia="黑体" w:cs="黑体"/>
              <w:color w:val="auto"/>
              <w:kern w:val="2"/>
              <w:sz w:val="32"/>
              <w:szCs w:val="32"/>
              <w:highlight w:val="none"/>
              <w:lang w:val="en-US" w:eastAsia="zh-CN" w:bidi="ar-SA"/>
            </w:rPr>
            <w:fldChar w:fldCharType="begin"/>
          </w:r>
          <w:r>
            <w:rPr>
              <w:rFonts w:hint="eastAsia" w:ascii="黑体" w:hAnsi="黑体" w:eastAsia="黑体" w:cs="黑体"/>
              <w:kern w:val="2"/>
              <w:sz w:val="32"/>
              <w:szCs w:val="32"/>
              <w:highlight w:val="none"/>
              <w:lang w:val="en-US" w:eastAsia="zh-CN" w:bidi="ar-SA"/>
            </w:rPr>
            <w:instrText xml:space="preserve"> HYPERLINK \l _Toc28122 </w:instrText>
          </w:r>
          <w:r>
            <w:rPr>
              <w:rFonts w:hint="eastAsia" w:ascii="黑体" w:hAnsi="黑体" w:eastAsia="黑体" w:cs="黑体"/>
              <w:kern w:val="2"/>
              <w:sz w:val="32"/>
              <w:szCs w:val="32"/>
              <w:highlight w:val="none"/>
              <w:lang w:val="en-US" w:eastAsia="zh-CN" w:bidi="ar-SA"/>
            </w:rPr>
            <w:fldChar w:fldCharType="separate"/>
          </w:r>
          <w:r>
            <w:rPr>
              <w:rFonts w:hint="eastAsia" w:ascii="黑体" w:hAnsi="黑体" w:eastAsia="黑体" w:cs="黑体"/>
              <w:sz w:val="32"/>
              <w:szCs w:val="32"/>
              <w:highlight w:val="none"/>
            </w:rPr>
            <w:t>第一部分</w:t>
          </w:r>
          <w:r>
            <w:rPr>
              <w:rFonts w:hint="eastAsia" w:ascii="黑体" w:hAnsi="黑体" w:eastAsia="黑体" w:cs="黑体"/>
              <w:sz w:val="32"/>
              <w:szCs w:val="32"/>
              <w:highlight w:val="none"/>
              <w:lang w:val="en-US" w:eastAsia="zh-CN"/>
            </w:rPr>
            <w:t xml:space="preserve"> </w:t>
          </w:r>
          <w:r>
            <w:rPr>
              <w:rFonts w:hint="eastAsia" w:ascii="黑体" w:hAnsi="黑体" w:eastAsia="黑体" w:cs="黑体"/>
              <w:sz w:val="32"/>
              <w:szCs w:val="32"/>
              <w:highlight w:val="none"/>
            </w:rPr>
            <w:t xml:space="preserve"> </w:t>
          </w:r>
          <w:r>
            <w:rPr>
              <w:rFonts w:hint="eastAsia" w:ascii="黑体" w:hAnsi="黑体" w:eastAsia="黑体" w:cs="黑体"/>
              <w:bCs w:val="0"/>
              <w:sz w:val="32"/>
              <w:szCs w:val="32"/>
              <w:highlight w:val="none"/>
            </w:rPr>
            <w:t>部门概况</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_Toc28122 \h </w:instrText>
          </w:r>
          <w:r>
            <w:rPr>
              <w:rFonts w:hint="eastAsia" w:ascii="黑体" w:hAnsi="黑体" w:eastAsia="黑体" w:cs="黑体"/>
              <w:sz w:val="32"/>
              <w:szCs w:val="32"/>
            </w:rPr>
            <w:fldChar w:fldCharType="separate"/>
          </w:r>
          <w:r>
            <w:rPr>
              <w:rFonts w:hint="eastAsia" w:ascii="黑体" w:hAnsi="黑体" w:eastAsia="黑体" w:cs="黑体"/>
              <w:sz w:val="32"/>
              <w:szCs w:val="32"/>
            </w:rPr>
            <w:t>1</w:t>
          </w:r>
          <w:r>
            <w:rPr>
              <w:rFonts w:hint="eastAsia" w:ascii="黑体" w:hAnsi="黑体" w:eastAsia="黑体" w:cs="黑体"/>
              <w:sz w:val="32"/>
              <w:szCs w:val="32"/>
            </w:rPr>
            <w:fldChar w:fldCharType="end"/>
          </w:r>
          <w:r>
            <w:rPr>
              <w:rFonts w:hint="eastAsia" w:ascii="黑体" w:hAnsi="黑体" w:eastAsia="黑体" w:cs="黑体"/>
              <w:color w:val="auto"/>
              <w:kern w:val="2"/>
              <w:sz w:val="32"/>
              <w:szCs w:val="32"/>
              <w:highlight w:val="none"/>
              <w:lang w:val="en-US" w:eastAsia="zh-CN" w:bidi="ar-SA"/>
            </w:rPr>
            <w:fldChar w:fldCharType="end"/>
          </w:r>
        </w:p>
        <w:p w14:paraId="6D726D7D">
          <w:pPr>
            <w:pStyle w:val="14"/>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highlight w:val="none"/>
              <w:lang w:val="en-US" w:eastAsia="zh-CN" w:bidi="ar-SA"/>
            </w:rPr>
            <w:fldChar w:fldCharType="begin"/>
          </w:r>
          <w:r>
            <w:rPr>
              <w:rFonts w:hint="eastAsia" w:ascii="仿宋_GB2312" w:hAnsi="仿宋_GB2312" w:eastAsia="仿宋_GB2312" w:cs="仿宋_GB2312"/>
              <w:kern w:val="2"/>
              <w:sz w:val="32"/>
              <w:szCs w:val="32"/>
              <w:highlight w:val="none"/>
              <w:lang w:val="en-US" w:eastAsia="zh-CN" w:bidi="ar-SA"/>
            </w:rPr>
            <w:instrText xml:space="preserve"> HYPERLINK \l _Toc17564 </w:instrText>
          </w:r>
          <w:r>
            <w:rPr>
              <w:rFonts w:hint="eastAsia" w:ascii="仿宋_GB2312" w:hAnsi="仿宋_GB2312" w:eastAsia="仿宋_GB2312" w:cs="仿宋_GB2312"/>
              <w:kern w:val="2"/>
              <w:sz w:val="32"/>
              <w:szCs w:val="32"/>
              <w:highlight w:val="none"/>
              <w:lang w:val="en-US" w:eastAsia="zh-CN" w:bidi="ar-SA"/>
            </w:rPr>
            <w:fldChar w:fldCharType="separate"/>
          </w:r>
          <w:r>
            <w:rPr>
              <w:rFonts w:hint="eastAsia" w:ascii="仿宋_GB2312" w:hAnsi="仿宋_GB2312" w:eastAsia="仿宋_GB2312" w:cs="仿宋_GB2312"/>
              <w:sz w:val="32"/>
              <w:szCs w:val="32"/>
              <w:highlight w:val="none"/>
            </w:rPr>
            <w:t>一、</w:t>
          </w:r>
          <w:r>
            <w:rPr>
              <w:rFonts w:hint="eastAsia" w:ascii="仿宋_GB2312" w:hAnsi="仿宋_GB2312" w:eastAsia="仿宋_GB2312" w:cs="仿宋_GB2312"/>
              <w:sz w:val="32"/>
              <w:szCs w:val="32"/>
              <w:highlight w:val="none"/>
              <w:lang w:eastAsia="zh-CN"/>
            </w:rPr>
            <w:t>部门职责</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_Toc17564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kern w:val="2"/>
              <w:sz w:val="32"/>
              <w:szCs w:val="32"/>
              <w:highlight w:val="none"/>
              <w:lang w:val="en-US" w:eastAsia="zh-CN" w:bidi="ar-SA"/>
            </w:rPr>
            <w:fldChar w:fldCharType="end"/>
          </w:r>
        </w:p>
        <w:p w14:paraId="197A23AA">
          <w:pPr>
            <w:pStyle w:val="14"/>
            <w:tabs>
              <w:tab w:val="right" w:leader="dot" w:pos="8306"/>
              <w:tab w:val="clear" w:pos="8296"/>
            </w:tabs>
          </w:pPr>
          <w:r>
            <w:rPr>
              <w:rFonts w:hint="eastAsia" w:ascii="仿宋_GB2312" w:hAnsi="仿宋_GB2312" w:eastAsia="仿宋_GB2312" w:cs="仿宋_GB2312"/>
              <w:color w:val="auto"/>
              <w:kern w:val="2"/>
              <w:sz w:val="32"/>
              <w:szCs w:val="32"/>
              <w:highlight w:val="none"/>
              <w:lang w:val="en-US" w:eastAsia="zh-CN" w:bidi="ar-SA"/>
            </w:rPr>
            <w:fldChar w:fldCharType="begin"/>
          </w:r>
          <w:r>
            <w:rPr>
              <w:rFonts w:hint="eastAsia" w:ascii="仿宋_GB2312" w:hAnsi="仿宋_GB2312" w:eastAsia="仿宋_GB2312" w:cs="仿宋_GB2312"/>
              <w:kern w:val="2"/>
              <w:sz w:val="32"/>
              <w:szCs w:val="32"/>
              <w:highlight w:val="none"/>
              <w:lang w:val="en-US" w:eastAsia="zh-CN" w:bidi="ar-SA"/>
            </w:rPr>
            <w:instrText xml:space="preserve"> HYPERLINK \l _Toc18684 </w:instrText>
          </w:r>
          <w:r>
            <w:rPr>
              <w:rFonts w:hint="eastAsia" w:ascii="仿宋_GB2312" w:hAnsi="仿宋_GB2312" w:eastAsia="仿宋_GB2312" w:cs="仿宋_GB2312"/>
              <w:kern w:val="2"/>
              <w:sz w:val="32"/>
              <w:szCs w:val="32"/>
              <w:highlight w:val="none"/>
              <w:lang w:val="en-US" w:eastAsia="zh-CN" w:bidi="ar-SA"/>
            </w:rPr>
            <w:fldChar w:fldCharType="separate"/>
          </w:r>
          <w:r>
            <w:rPr>
              <w:rFonts w:hint="eastAsia" w:ascii="仿宋_GB2312" w:hAnsi="仿宋_GB2312" w:eastAsia="仿宋_GB2312" w:cs="仿宋_GB2312"/>
              <w:sz w:val="32"/>
              <w:szCs w:val="32"/>
              <w:highlight w:val="none"/>
            </w:rPr>
            <w:t>二、机构设置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_Toc18684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kern w:val="2"/>
              <w:sz w:val="32"/>
              <w:szCs w:val="32"/>
              <w:highlight w:val="none"/>
              <w:lang w:val="en-US" w:eastAsia="zh-CN" w:bidi="ar-SA"/>
            </w:rPr>
            <w:fldChar w:fldCharType="end"/>
          </w:r>
        </w:p>
        <w:p w14:paraId="5E118B45">
          <w:pPr>
            <w:pStyle w:val="12"/>
            <w:tabs>
              <w:tab w:val="right" w:leader="dot" w:pos="8306"/>
              <w:tab w:val="clear" w:pos="8296"/>
            </w:tabs>
          </w:pPr>
          <w:r>
            <w:rPr>
              <w:rFonts w:hint="eastAsia" w:ascii="黑体" w:hAnsi="黑体" w:eastAsia="黑体" w:cs="黑体"/>
              <w:color w:val="auto"/>
              <w:kern w:val="2"/>
              <w:sz w:val="32"/>
              <w:szCs w:val="32"/>
              <w:highlight w:val="none"/>
              <w:lang w:val="en-US" w:eastAsia="zh-CN" w:bidi="ar-SA"/>
            </w:rPr>
            <w:fldChar w:fldCharType="begin"/>
          </w:r>
          <w:r>
            <w:rPr>
              <w:rFonts w:hint="eastAsia" w:ascii="黑体" w:hAnsi="黑体" w:eastAsia="黑体" w:cs="黑体"/>
              <w:kern w:val="2"/>
              <w:sz w:val="32"/>
              <w:szCs w:val="32"/>
              <w:highlight w:val="none"/>
              <w:lang w:val="en-US" w:eastAsia="zh-CN" w:bidi="ar-SA"/>
            </w:rPr>
            <w:instrText xml:space="preserve"> HYPERLINK \l _Toc791 </w:instrText>
          </w:r>
          <w:r>
            <w:rPr>
              <w:rFonts w:hint="eastAsia" w:ascii="黑体" w:hAnsi="黑体" w:eastAsia="黑体" w:cs="黑体"/>
              <w:kern w:val="2"/>
              <w:sz w:val="32"/>
              <w:szCs w:val="32"/>
              <w:highlight w:val="none"/>
              <w:lang w:val="en-US" w:eastAsia="zh-CN" w:bidi="ar-SA"/>
            </w:rPr>
            <w:fldChar w:fldCharType="separate"/>
          </w:r>
          <w:r>
            <w:rPr>
              <w:rFonts w:hint="eastAsia" w:ascii="黑体" w:hAnsi="黑体" w:eastAsia="黑体" w:cs="黑体"/>
              <w:sz w:val="32"/>
              <w:szCs w:val="32"/>
              <w:highlight w:val="none"/>
            </w:rPr>
            <w:t>第二部分</w:t>
          </w:r>
          <w:r>
            <w:rPr>
              <w:rFonts w:hint="eastAsia" w:ascii="黑体" w:hAnsi="黑体" w:eastAsia="黑体" w:cs="黑体"/>
              <w:sz w:val="32"/>
              <w:szCs w:val="32"/>
              <w:highlight w:val="none"/>
              <w:lang w:val="en-US" w:eastAsia="zh-CN"/>
            </w:rPr>
            <w:t xml:space="preserve"> </w:t>
          </w:r>
          <w:r>
            <w:rPr>
              <w:rFonts w:hint="eastAsia" w:ascii="黑体" w:hAnsi="黑体" w:eastAsia="黑体" w:cs="黑体"/>
              <w:sz w:val="32"/>
              <w:szCs w:val="32"/>
              <w:highlight w:val="none"/>
            </w:rPr>
            <w:t xml:space="preserve"> </w:t>
          </w:r>
          <w:r>
            <w:rPr>
              <w:rFonts w:hint="eastAsia" w:ascii="黑体" w:hAnsi="黑体" w:eastAsia="黑体" w:cs="黑体"/>
              <w:sz w:val="32"/>
              <w:szCs w:val="32"/>
              <w:highlight w:val="none"/>
              <w:lang w:val="en-US" w:eastAsia="zh-CN"/>
            </w:rPr>
            <w:t>2025年度</w:t>
          </w:r>
          <w:r>
            <w:rPr>
              <w:rFonts w:hint="eastAsia" w:ascii="黑体" w:hAnsi="黑体" w:eastAsia="黑体" w:cs="黑体"/>
              <w:sz w:val="32"/>
              <w:szCs w:val="32"/>
              <w:highlight w:val="none"/>
            </w:rPr>
            <w:t>部门决算情况说明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_Toc791 \h </w:instrText>
          </w:r>
          <w:r>
            <w:rPr>
              <w:rFonts w:hint="eastAsia" w:ascii="黑体" w:hAnsi="黑体" w:eastAsia="黑体" w:cs="黑体"/>
              <w:sz w:val="32"/>
              <w:szCs w:val="32"/>
            </w:rPr>
            <w:fldChar w:fldCharType="separate"/>
          </w:r>
          <w:r>
            <w:rPr>
              <w:rFonts w:hint="eastAsia" w:ascii="黑体" w:hAnsi="黑体" w:eastAsia="黑体" w:cs="黑体"/>
              <w:sz w:val="32"/>
              <w:szCs w:val="32"/>
            </w:rPr>
            <w:t>2</w:t>
          </w:r>
          <w:r>
            <w:rPr>
              <w:rFonts w:hint="eastAsia" w:ascii="黑体" w:hAnsi="黑体" w:eastAsia="黑体" w:cs="黑体"/>
              <w:sz w:val="32"/>
              <w:szCs w:val="32"/>
            </w:rPr>
            <w:fldChar w:fldCharType="end"/>
          </w:r>
          <w:r>
            <w:rPr>
              <w:rFonts w:hint="eastAsia" w:ascii="黑体" w:hAnsi="黑体" w:eastAsia="黑体" w:cs="黑体"/>
              <w:color w:val="auto"/>
              <w:kern w:val="2"/>
              <w:sz w:val="32"/>
              <w:szCs w:val="32"/>
              <w:highlight w:val="none"/>
              <w:lang w:val="en-US" w:eastAsia="zh-CN" w:bidi="ar-SA"/>
            </w:rPr>
            <w:fldChar w:fldCharType="end"/>
          </w:r>
        </w:p>
        <w:p w14:paraId="6949F06A">
          <w:pPr>
            <w:pStyle w:val="14"/>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highlight w:val="none"/>
              <w:lang w:val="en-US" w:eastAsia="zh-CN" w:bidi="ar-SA"/>
            </w:rPr>
            <w:fldChar w:fldCharType="begin"/>
          </w:r>
          <w:r>
            <w:rPr>
              <w:rFonts w:hint="eastAsia" w:ascii="仿宋_GB2312" w:hAnsi="仿宋_GB2312" w:eastAsia="仿宋_GB2312" w:cs="仿宋_GB2312"/>
              <w:kern w:val="2"/>
              <w:sz w:val="32"/>
              <w:szCs w:val="32"/>
              <w:highlight w:val="none"/>
              <w:lang w:val="en-US" w:eastAsia="zh-CN" w:bidi="ar-SA"/>
            </w:rPr>
            <w:instrText xml:space="preserve"> HYPERLINK \l _Toc7042 </w:instrText>
          </w:r>
          <w:r>
            <w:rPr>
              <w:rFonts w:hint="eastAsia" w:ascii="仿宋_GB2312" w:hAnsi="仿宋_GB2312" w:eastAsia="仿宋_GB2312" w:cs="仿宋_GB2312"/>
              <w:kern w:val="2"/>
              <w:sz w:val="32"/>
              <w:szCs w:val="32"/>
              <w:highlight w:val="none"/>
              <w:lang w:val="en-US" w:eastAsia="zh-CN" w:bidi="ar-SA"/>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_Toc7042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kern w:val="2"/>
              <w:sz w:val="32"/>
              <w:szCs w:val="32"/>
              <w:highlight w:val="none"/>
              <w:lang w:val="en-US" w:eastAsia="zh-CN" w:bidi="ar-SA"/>
            </w:rPr>
            <w:fldChar w:fldCharType="end"/>
          </w:r>
        </w:p>
        <w:p w14:paraId="244B3F66">
          <w:pPr>
            <w:pStyle w:val="14"/>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highlight w:val="none"/>
              <w:lang w:val="en-US" w:eastAsia="zh-CN" w:bidi="ar-SA"/>
            </w:rPr>
            <w:fldChar w:fldCharType="begin"/>
          </w:r>
          <w:r>
            <w:rPr>
              <w:rFonts w:hint="eastAsia" w:ascii="仿宋_GB2312" w:hAnsi="仿宋_GB2312" w:eastAsia="仿宋_GB2312" w:cs="仿宋_GB2312"/>
              <w:kern w:val="2"/>
              <w:sz w:val="32"/>
              <w:szCs w:val="32"/>
              <w:highlight w:val="none"/>
              <w:lang w:val="en-US" w:eastAsia="zh-CN" w:bidi="ar-SA"/>
            </w:rPr>
            <w:instrText xml:space="preserve"> HYPERLINK \l _Toc26817 </w:instrText>
          </w:r>
          <w:r>
            <w:rPr>
              <w:rFonts w:hint="eastAsia" w:ascii="仿宋_GB2312" w:hAnsi="仿宋_GB2312" w:eastAsia="仿宋_GB2312" w:cs="仿宋_GB2312"/>
              <w:kern w:val="2"/>
              <w:sz w:val="32"/>
              <w:szCs w:val="32"/>
              <w:highlight w:val="none"/>
              <w:lang w:val="en-US" w:eastAsia="zh-CN" w:bidi="ar-SA"/>
            </w:rPr>
            <w:fldChar w:fldCharType="separate"/>
          </w:r>
          <w:r>
            <w:rPr>
              <w:rFonts w:hint="eastAsia" w:ascii="仿宋_GB2312" w:hAnsi="仿宋_GB2312" w:eastAsia="仿宋_GB2312" w:cs="仿宋_GB2312"/>
              <w:sz w:val="32"/>
              <w:szCs w:val="32"/>
              <w:highlight w:val="none"/>
              <w:lang w:eastAsia="zh-CN"/>
            </w:rPr>
            <w:t>二、收入决算情况说明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_Toc26817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kern w:val="2"/>
              <w:sz w:val="32"/>
              <w:szCs w:val="32"/>
              <w:highlight w:val="none"/>
              <w:lang w:val="en-US" w:eastAsia="zh-CN" w:bidi="ar-SA"/>
            </w:rPr>
            <w:fldChar w:fldCharType="end"/>
          </w:r>
        </w:p>
        <w:p w14:paraId="493958E5">
          <w:pPr>
            <w:pStyle w:val="14"/>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highlight w:val="none"/>
              <w:lang w:val="en-US" w:eastAsia="zh-CN" w:bidi="ar-SA"/>
            </w:rPr>
            <w:fldChar w:fldCharType="begin"/>
          </w:r>
          <w:r>
            <w:rPr>
              <w:rFonts w:hint="eastAsia" w:ascii="仿宋_GB2312" w:hAnsi="仿宋_GB2312" w:eastAsia="仿宋_GB2312" w:cs="仿宋_GB2312"/>
              <w:kern w:val="2"/>
              <w:sz w:val="32"/>
              <w:szCs w:val="32"/>
              <w:highlight w:val="none"/>
              <w:lang w:val="en-US" w:eastAsia="zh-CN" w:bidi="ar-SA"/>
            </w:rPr>
            <w:instrText xml:space="preserve"> HYPERLINK \l _Toc15734 </w:instrText>
          </w:r>
          <w:r>
            <w:rPr>
              <w:rFonts w:hint="eastAsia" w:ascii="仿宋_GB2312" w:hAnsi="仿宋_GB2312" w:eastAsia="仿宋_GB2312" w:cs="仿宋_GB2312"/>
              <w:kern w:val="2"/>
              <w:sz w:val="32"/>
              <w:szCs w:val="32"/>
              <w:highlight w:val="none"/>
              <w:lang w:val="en-US" w:eastAsia="zh-CN" w:bidi="ar-SA"/>
            </w:rPr>
            <w:fldChar w:fldCharType="separate"/>
          </w:r>
          <w:r>
            <w:rPr>
              <w:rFonts w:hint="eastAsia" w:ascii="仿宋_GB2312" w:hAnsi="仿宋_GB2312" w:eastAsia="仿宋_GB2312" w:cs="仿宋_GB2312"/>
              <w:sz w:val="32"/>
              <w:szCs w:val="32"/>
              <w:highlight w:val="none"/>
              <w:lang w:eastAsia="zh-CN"/>
            </w:rPr>
            <w:t>三、</w:t>
          </w:r>
          <w:r>
            <w:rPr>
              <w:rFonts w:hint="eastAsia" w:ascii="仿宋_GB2312" w:hAnsi="仿宋_GB2312" w:eastAsia="仿宋_GB2312" w:cs="仿宋_GB2312"/>
              <w:sz w:val="32"/>
              <w:szCs w:val="32"/>
              <w:highlight w:val="none"/>
            </w:rPr>
            <w:t>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_Toc15734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kern w:val="2"/>
              <w:sz w:val="32"/>
              <w:szCs w:val="32"/>
              <w:highlight w:val="none"/>
              <w:lang w:val="en-US" w:eastAsia="zh-CN" w:bidi="ar-SA"/>
            </w:rPr>
            <w:fldChar w:fldCharType="end"/>
          </w:r>
        </w:p>
        <w:p w14:paraId="601EB8B4">
          <w:pPr>
            <w:pStyle w:val="14"/>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highlight w:val="none"/>
              <w:lang w:val="en-US" w:eastAsia="zh-CN" w:bidi="ar-SA"/>
            </w:rPr>
            <w:fldChar w:fldCharType="begin"/>
          </w:r>
          <w:r>
            <w:rPr>
              <w:rFonts w:hint="eastAsia" w:ascii="仿宋_GB2312" w:hAnsi="仿宋_GB2312" w:eastAsia="仿宋_GB2312" w:cs="仿宋_GB2312"/>
              <w:kern w:val="2"/>
              <w:sz w:val="32"/>
              <w:szCs w:val="32"/>
              <w:highlight w:val="none"/>
              <w:lang w:val="en-US" w:eastAsia="zh-CN" w:bidi="ar-SA"/>
            </w:rPr>
            <w:instrText xml:space="preserve"> HYPERLINK \l _Toc18991 </w:instrText>
          </w:r>
          <w:r>
            <w:rPr>
              <w:rFonts w:hint="eastAsia" w:ascii="仿宋_GB2312" w:hAnsi="仿宋_GB2312" w:eastAsia="仿宋_GB2312" w:cs="仿宋_GB2312"/>
              <w:kern w:val="2"/>
              <w:sz w:val="32"/>
              <w:szCs w:val="32"/>
              <w:highlight w:val="none"/>
              <w:lang w:val="en-US" w:eastAsia="zh-CN" w:bidi="ar-SA"/>
            </w:rPr>
            <w:fldChar w:fldCharType="separate"/>
          </w:r>
          <w:r>
            <w:rPr>
              <w:rFonts w:hint="eastAsia" w:ascii="仿宋_GB2312" w:hAnsi="仿宋_GB2312" w:eastAsia="仿宋_GB2312" w:cs="仿宋_GB2312"/>
              <w:sz w:val="32"/>
              <w:szCs w:val="32"/>
              <w:highlight w:val="none"/>
            </w:rPr>
            <w:t>四、财政拨款收入支出决算总体情况说明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_Toc18991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kern w:val="2"/>
              <w:sz w:val="32"/>
              <w:szCs w:val="32"/>
              <w:highlight w:val="none"/>
              <w:lang w:val="en-US" w:eastAsia="zh-CN" w:bidi="ar-SA"/>
            </w:rPr>
            <w:fldChar w:fldCharType="end"/>
          </w:r>
        </w:p>
        <w:p w14:paraId="2B290E7F">
          <w:pPr>
            <w:pStyle w:val="14"/>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highlight w:val="none"/>
              <w:lang w:val="en-US" w:eastAsia="zh-CN" w:bidi="ar-SA"/>
            </w:rPr>
            <w:fldChar w:fldCharType="begin"/>
          </w:r>
          <w:r>
            <w:rPr>
              <w:rFonts w:hint="eastAsia" w:ascii="仿宋_GB2312" w:hAnsi="仿宋_GB2312" w:eastAsia="仿宋_GB2312" w:cs="仿宋_GB2312"/>
              <w:kern w:val="2"/>
              <w:sz w:val="32"/>
              <w:szCs w:val="32"/>
              <w:highlight w:val="none"/>
              <w:lang w:val="en-US" w:eastAsia="zh-CN" w:bidi="ar-SA"/>
            </w:rPr>
            <w:instrText xml:space="preserve"> HYPERLINK \l _Toc744 </w:instrText>
          </w:r>
          <w:r>
            <w:rPr>
              <w:rFonts w:hint="eastAsia" w:ascii="仿宋_GB2312" w:hAnsi="仿宋_GB2312" w:eastAsia="仿宋_GB2312" w:cs="仿宋_GB2312"/>
              <w:kern w:val="2"/>
              <w:sz w:val="32"/>
              <w:szCs w:val="32"/>
              <w:highlight w:val="none"/>
              <w:lang w:val="en-US" w:eastAsia="zh-CN" w:bidi="ar-SA"/>
            </w:rPr>
            <w:fldChar w:fldCharType="separate"/>
          </w:r>
          <w:r>
            <w:rPr>
              <w:rFonts w:hint="eastAsia" w:ascii="仿宋_GB2312" w:hAnsi="仿宋_GB2312" w:eastAsia="仿宋_GB2312" w:cs="仿宋_GB2312"/>
              <w:sz w:val="32"/>
              <w:szCs w:val="32"/>
              <w:highlight w:val="none"/>
            </w:rPr>
            <w:t>五、一般公共预算财政拨款支出决算情况说明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_Toc744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kern w:val="2"/>
              <w:sz w:val="32"/>
              <w:szCs w:val="32"/>
              <w:highlight w:val="none"/>
              <w:lang w:val="en-US" w:eastAsia="zh-CN" w:bidi="ar-SA"/>
            </w:rPr>
            <w:fldChar w:fldCharType="end"/>
          </w:r>
        </w:p>
        <w:p w14:paraId="14FDB9AB">
          <w:pPr>
            <w:pStyle w:val="14"/>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highlight w:val="none"/>
              <w:lang w:val="en-US" w:eastAsia="zh-CN" w:bidi="ar-SA"/>
            </w:rPr>
            <w:fldChar w:fldCharType="begin"/>
          </w:r>
          <w:r>
            <w:rPr>
              <w:rFonts w:hint="eastAsia" w:ascii="仿宋_GB2312" w:hAnsi="仿宋_GB2312" w:eastAsia="仿宋_GB2312" w:cs="仿宋_GB2312"/>
              <w:kern w:val="2"/>
              <w:sz w:val="32"/>
              <w:szCs w:val="32"/>
              <w:highlight w:val="none"/>
              <w:lang w:val="en-US" w:eastAsia="zh-CN" w:bidi="ar-SA"/>
            </w:rPr>
            <w:instrText xml:space="preserve"> HYPERLINK \l _Toc32191 </w:instrText>
          </w:r>
          <w:r>
            <w:rPr>
              <w:rFonts w:hint="eastAsia" w:ascii="仿宋_GB2312" w:hAnsi="仿宋_GB2312" w:eastAsia="仿宋_GB2312" w:cs="仿宋_GB2312"/>
              <w:kern w:val="2"/>
              <w:sz w:val="32"/>
              <w:szCs w:val="32"/>
              <w:highlight w:val="none"/>
              <w:lang w:val="en-US" w:eastAsia="zh-CN" w:bidi="ar-SA"/>
            </w:rPr>
            <w:fldChar w:fldCharType="separate"/>
          </w:r>
          <w:r>
            <w:rPr>
              <w:rFonts w:hint="eastAsia" w:ascii="仿宋_GB2312" w:hAnsi="仿宋_GB2312" w:eastAsia="仿宋_GB2312" w:cs="仿宋_GB2312"/>
              <w:sz w:val="32"/>
              <w:szCs w:val="32"/>
              <w:highlight w:val="none"/>
            </w:rPr>
            <w:t>六、一般公共预算财政拨款基本支出决算情况说明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_Toc32191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kern w:val="2"/>
              <w:sz w:val="32"/>
              <w:szCs w:val="32"/>
              <w:highlight w:val="none"/>
              <w:lang w:val="en-US" w:eastAsia="zh-CN" w:bidi="ar-SA"/>
            </w:rPr>
            <w:fldChar w:fldCharType="end"/>
          </w:r>
        </w:p>
        <w:p w14:paraId="51D5DB6D">
          <w:pPr>
            <w:pStyle w:val="14"/>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highlight w:val="none"/>
              <w:lang w:val="en-US" w:eastAsia="zh-CN" w:bidi="ar-SA"/>
            </w:rPr>
            <w:fldChar w:fldCharType="begin"/>
          </w:r>
          <w:r>
            <w:rPr>
              <w:rFonts w:hint="eastAsia" w:ascii="仿宋_GB2312" w:hAnsi="仿宋_GB2312" w:eastAsia="仿宋_GB2312" w:cs="仿宋_GB2312"/>
              <w:kern w:val="2"/>
              <w:sz w:val="32"/>
              <w:szCs w:val="32"/>
              <w:highlight w:val="none"/>
              <w:lang w:val="en-US" w:eastAsia="zh-CN" w:bidi="ar-SA"/>
            </w:rPr>
            <w:instrText xml:space="preserve"> HYPERLINK \l _Toc6436 </w:instrText>
          </w:r>
          <w:r>
            <w:rPr>
              <w:rFonts w:hint="eastAsia" w:ascii="仿宋_GB2312" w:hAnsi="仿宋_GB2312" w:eastAsia="仿宋_GB2312" w:cs="仿宋_GB2312"/>
              <w:kern w:val="2"/>
              <w:sz w:val="32"/>
              <w:szCs w:val="32"/>
              <w:highlight w:val="none"/>
              <w:lang w:val="en-US" w:eastAsia="zh-CN" w:bidi="ar-SA"/>
            </w:rPr>
            <w:fldChar w:fldCharType="separate"/>
          </w:r>
          <w:r>
            <w:rPr>
              <w:rFonts w:hint="eastAsia" w:ascii="仿宋_GB2312" w:hAnsi="仿宋_GB2312" w:eastAsia="仿宋_GB2312" w:cs="仿宋_GB2312"/>
              <w:sz w:val="32"/>
              <w:szCs w:val="32"/>
              <w:highlight w:val="none"/>
            </w:rPr>
            <w:t>七、财政拨款“三公”经费支出决算情况说明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_Toc6436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kern w:val="2"/>
              <w:sz w:val="32"/>
              <w:szCs w:val="32"/>
              <w:highlight w:val="none"/>
              <w:lang w:val="en-US" w:eastAsia="zh-CN" w:bidi="ar-SA"/>
            </w:rPr>
            <w:fldChar w:fldCharType="end"/>
          </w:r>
        </w:p>
        <w:p w14:paraId="19CAE377">
          <w:pPr>
            <w:pStyle w:val="14"/>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highlight w:val="none"/>
              <w:lang w:val="en-US" w:eastAsia="zh-CN" w:bidi="ar-SA"/>
            </w:rPr>
            <w:fldChar w:fldCharType="begin"/>
          </w:r>
          <w:r>
            <w:rPr>
              <w:rFonts w:hint="eastAsia" w:ascii="仿宋_GB2312" w:hAnsi="仿宋_GB2312" w:eastAsia="仿宋_GB2312" w:cs="仿宋_GB2312"/>
              <w:kern w:val="2"/>
              <w:sz w:val="32"/>
              <w:szCs w:val="32"/>
              <w:highlight w:val="none"/>
              <w:lang w:val="en-US" w:eastAsia="zh-CN" w:bidi="ar-SA"/>
            </w:rPr>
            <w:instrText xml:space="preserve"> HYPERLINK \l _Toc29287 </w:instrText>
          </w:r>
          <w:r>
            <w:rPr>
              <w:rFonts w:hint="eastAsia" w:ascii="仿宋_GB2312" w:hAnsi="仿宋_GB2312" w:eastAsia="仿宋_GB2312" w:cs="仿宋_GB2312"/>
              <w:kern w:val="2"/>
              <w:sz w:val="32"/>
              <w:szCs w:val="32"/>
              <w:highlight w:val="none"/>
              <w:lang w:val="en-US" w:eastAsia="zh-CN" w:bidi="ar-SA"/>
            </w:rPr>
            <w:fldChar w:fldCharType="separate"/>
          </w:r>
          <w:r>
            <w:rPr>
              <w:rFonts w:hint="eastAsia" w:ascii="仿宋_GB2312" w:hAnsi="仿宋_GB2312" w:eastAsia="仿宋_GB2312" w:cs="仿宋_GB2312"/>
              <w:sz w:val="32"/>
              <w:szCs w:val="32"/>
              <w:highlight w:val="none"/>
            </w:rPr>
            <w:t>八、政府性基金预算支出决算情况说明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_Toc29287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kern w:val="2"/>
              <w:sz w:val="32"/>
              <w:szCs w:val="32"/>
              <w:highlight w:val="none"/>
              <w:lang w:val="en-US" w:eastAsia="zh-CN" w:bidi="ar-SA"/>
            </w:rPr>
            <w:fldChar w:fldCharType="end"/>
          </w:r>
        </w:p>
        <w:p w14:paraId="53C5B8C0">
          <w:pPr>
            <w:pStyle w:val="14"/>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highlight w:val="none"/>
              <w:lang w:val="en-US" w:eastAsia="zh-CN" w:bidi="ar-SA"/>
            </w:rPr>
            <w:fldChar w:fldCharType="begin"/>
          </w:r>
          <w:r>
            <w:rPr>
              <w:rFonts w:hint="eastAsia" w:ascii="仿宋_GB2312" w:hAnsi="仿宋_GB2312" w:eastAsia="仿宋_GB2312" w:cs="仿宋_GB2312"/>
              <w:kern w:val="2"/>
              <w:sz w:val="32"/>
              <w:szCs w:val="32"/>
              <w:highlight w:val="none"/>
              <w:lang w:val="en-US" w:eastAsia="zh-CN" w:bidi="ar-SA"/>
            </w:rPr>
            <w:instrText xml:space="preserve"> HYPERLINK \l _Toc14009 </w:instrText>
          </w:r>
          <w:r>
            <w:rPr>
              <w:rFonts w:hint="eastAsia" w:ascii="仿宋_GB2312" w:hAnsi="仿宋_GB2312" w:eastAsia="仿宋_GB2312" w:cs="仿宋_GB2312"/>
              <w:kern w:val="2"/>
              <w:sz w:val="32"/>
              <w:szCs w:val="32"/>
              <w:highlight w:val="none"/>
              <w:lang w:val="en-US" w:eastAsia="zh-CN" w:bidi="ar-SA"/>
            </w:rPr>
            <w:fldChar w:fldCharType="separate"/>
          </w:r>
          <w:r>
            <w:rPr>
              <w:rFonts w:hint="eastAsia" w:ascii="仿宋_GB2312" w:hAnsi="仿宋_GB2312" w:eastAsia="仿宋_GB2312" w:cs="仿宋_GB2312"/>
              <w:sz w:val="32"/>
              <w:szCs w:val="32"/>
              <w:highlight w:val="none"/>
              <w:lang w:eastAsia="zh-CN"/>
            </w:rPr>
            <w:t>九、</w:t>
          </w:r>
          <w:r>
            <w:rPr>
              <w:rFonts w:hint="eastAsia" w:ascii="仿宋_GB2312" w:hAnsi="仿宋_GB2312" w:eastAsia="仿宋_GB2312" w:cs="仿宋_GB2312"/>
              <w:sz w:val="32"/>
              <w:szCs w:val="32"/>
              <w:highlight w:val="none"/>
            </w:rPr>
            <w:t>国有资本经营预算支出决算情况说明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_Toc14009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kern w:val="2"/>
              <w:sz w:val="32"/>
              <w:szCs w:val="32"/>
              <w:highlight w:val="none"/>
              <w:lang w:val="en-US" w:eastAsia="zh-CN" w:bidi="ar-SA"/>
            </w:rPr>
            <w:fldChar w:fldCharType="end"/>
          </w:r>
        </w:p>
        <w:p w14:paraId="5813A5A9">
          <w:pPr>
            <w:pStyle w:val="14"/>
            <w:tabs>
              <w:tab w:val="right" w:leader="dot" w:pos="8306"/>
              <w:tab w:val="clear" w:pos="8296"/>
            </w:tabs>
          </w:pPr>
          <w:r>
            <w:rPr>
              <w:rFonts w:hint="eastAsia" w:ascii="仿宋_GB2312" w:hAnsi="仿宋_GB2312" w:eastAsia="仿宋_GB2312" w:cs="仿宋_GB2312"/>
              <w:color w:val="auto"/>
              <w:kern w:val="2"/>
              <w:sz w:val="32"/>
              <w:szCs w:val="32"/>
              <w:highlight w:val="none"/>
              <w:lang w:val="en-US" w:eastAsia="zh-CN" w:bidi="ar-SA"/>
            </w:rPr>
            <w:fldChar w:fldCharType="begin"/>
          </w:r>
          <w:r>
            <w:rPr>
              <w:rFonts w:hint="eastAsia" w:ascii="仿宋_GB2312" w:hAnsi="仿宋_GB2312" w:eastAsia="仿宋_GB2312" w:cs="仿宋_GB2312"/>
              <w:color w:val="auto"/>
              <w:kern w:val="2"/>
              <w:sz w:val="32"/>
              <w:szCs w:val="32"/>
              <w:highlight w:val="none"/>
              <w:lang w:val="en-US" w:eastAsia="zh-CN" w:bidi="ar-SA"/>
            </w:rPr>
            <w:instrText xml:space="preserve"> HYPERLINK \l _Toc16930 </w:instrText>
          </w:r>
          <w:r>
            <w:rPr>
              <w:rFonts w:hint="eastAsia" w:ascii="仿宋_GB2312" w:hAnsi="仿宋_GB2312" w:eastAsia="仿宋_GB2312" w:cs="仿宋_GB2312"/>
              <w:color w:val="auto"/>
              <w:kern w:val="2"/>
              <w:sz w:val="32"/>
              <w:szCs w:val="32"/>
              <w:highlight w:val="none"/>
              <w:lang w:val="en-US" w:eastAsia="zh-CN" w:bidi="ar-SA"/>
            </w:rPr>
            <w:fldChar w:fldCharType="separate"/>
          </w:r>
          <w:r>
            <w:rPr>
              <w:rFonts w:hint="eastAsia" w:ascii="仿宋_GB2312" w:hAnsi="仿宋_GB2312" w:eastAsia="仿宋_GB2312" w:cs="仿宋_GB2312"/>
              <w:color w:val="auto"/>
              <w:kern w:val="2"/>
              <w:sz w:val="32"/>
              <w:szCs w:val="32"/>
              <w:highlight w:val="none"/>
              <w:lang w:val="en-US" w:eastAsia="zh-CN" w:bidi="ar-SA"/>
            </w:rPr>
            <w:t>十、其他重要事项的情况说明</w:t>
          </w:r>
          <w:r>
            <w:rPr>
              <w:rFonts w:hint="eastAsia" w:ascii="仿宋_GB2312" w:hAnsi="仿宋_GB2312" w:eastAsia="仿宋_GB2312" w:cs="仿宋_GB2312"/>
              <w:color w:val="auto"/>
              <w:kern w:val="2"/>
              <w:sz w:val="32"/>
              <w:szCs w:val="32"/>
              <w:highlight w:val="none"/>
              <w:lang w:val="en-US" w:eastAsia="zh-CN" w:bidi="ar-SA"/>
            </w:rPr>
            <w:tab/>
          </w:r>
          <w:r>
            <w:rPr>
              <w:rFonts w:hint="eastAsia" w:ascii="仿宋_GB2312" w:hAnsi="仿宋_GB2312" w:eastAsia="仿宋_GB2312" w:cs="仿宋_GB2312"/>
              <w:color w:val="auto"/>
              <w:kern w:val="2"/>
              <w:sz w:val="32"/>
              <w:szCs w:val="32"/>
              <w:highlight w:val="none"/>
              <w:lang w:val="en-US" w:eastAsia="zh-CN" w:bidi="ar-SA"/>
            </w:rPr>
            <w:fldChar w:fldCharType="begin"/>
          </w:r>
          <w:r>
            <w:rPr>
              <w:rFonts w:hint="eastAsia" w:ascii="仿宋_GB2312" w:hAnsi="仿宋_GB2312" w:eastAsia="仿宋_GB2312" w:cs="仿宋_GB2312"/>
              <w:color w:val="auto"/>
              <w:kern w:val="2"/>
              <w:sz w:val="32"/>
              <w:szCs w:val="32"/>
              <w:highlight w:val="none"/>
              <w:lang w:val="en-US" w:eastAsia="zh-CN" w:bidi="ar-SA"/>
            </w:rPr>
            <w:instrText xml:space="preserve"> PAGEREF _Toc16930 \h </w:instrText>
          </w:r>
          <w:r>
            <w:rPr>
              <w:rFonts w:hint="eastAsia" w:ascii="仿宋_GB2312" w:hAnsi="仿宋_GB2312" w:eastAsia="仿宋_GB2312" w:cs="仿宋_GB2312"/>
              <w:color w:val="auto"/>
              <w:kern w:val="2"/>
              <w:sz w:val="32"/>
              <w:szCs w:val="32"/>
              <w:highlight w:val="none"/>
              <w:lang w:val="en-US" w:eastAsia="zh-CN" w:bidi="ar-SA"/>
            </w:rPr>
            <w:fldChar w:fldCharType="separate"/>
          </w:r>
          <w:r>
            <w:rPr>
              <w:rFonts w:hint="eastAsia" w:ascii="仿宋_GB2312" w:hAnsi="仿宋_GB2312" w:eastAsia="仿宋_GB2312" w:cs="仿宋_GB2312"/>
              <w:color w:val="auto"/>
              <w:kern w:val="2"/>
              <w:sz w:val="32"/>
              <w:szCs w:val="32"/>
              <w:highlight w:val="none"/>
              <w:lang w:val="en-US" w:eastAsia="zh-CN" w:bidi="ar-SA"/>
            </w:rPr>
            <w:t>9</w:t>
          </w:r>
          <w:r>
            <w:rPr>
              <w:rFonts w:hint="eastAsia" w:ascii="仿宋_GB2312" w:hAnsi="仿宋_GB2312" w:eastAsia="仿宋_GB2312" w:cs="仿宋_GB2312"/>
              <w:color w:val="auto"/>
              <w:kern w:val="2"/>
              <w:sz w:val="32"/>
              <w:szCs w:val="32"/>
              <w:highlight w:val="none"/>
              <w:lang w:val="en-US" w:eastAsia="zh-CN" w:bidi="ar-SA"/>
            </w:rPr>
            <w:fldChar w:fldCharType="end"/>
          </w:r>
          <w:r>
            <w:rPr>
              <w:rFonts w:hint="eastAsia" w:ascii="仿宋_GB2312" w:hAnsi="仿宋_GB2312" w:eastAsia="仿宋_GB2312" w:cs="仿宋_GB2312"/>
              <w:color w:val="auto"/>
              <w:kern w:val="2"/>
              <w:sz w:val="32"/>
              <w:szCs w:val="32"/>
              <w:highlight w:val="none"/>
              <w:lang w:val="en-US" w:eastAsia="zh-CN" w:bidi="ar-SA"/>
            </w:rPr>
            <w:fldChar w:fldCharType="end"/>
          </w:r>
        </w:p>
        <w:p w14:paraId="05512A66">
          <w:pPr>
            <w:pStyle w:val="12"/>
            <w:tabs>
              <w:tab w:val="right" w:leader="dot" w:pos="8306"/>
              <w:tab w:val="clear" w:pos="8296"/>
            </w:tabs>
            <w:rPr>
              <w:rFonts w:hint="eastAsia" w:ascii="黑体" w:hAnsi="黑体" w:eastAsia="黑体" w:cs="黑体"/>
              <w:sz w:val="32"/>
              <w:szCs w:val="32"/>
            </w:rPr>
          </w:pPr>
          <w:r>
            <w:rPr>
              <w:rFonts w:hint="eastAsia" w:ascii="黑体" w:hAnsi="黑体" w:eastAsia="黑体" w:cs="黑体"/>
              <w:color w:val="auto"/>
              <w:kern w:val="2"/>
              <w:sz w:val="32"/>
              <w:szCs w:val="32"/>
              <w:highlight w:val="none"/>
              <w:lang w:val="en-US" w:eastAsia="zh-CN" w:bidi="ar-SA"/>
            </w:rPr>
            <w:fldChar w:fldCharType="begin"/>
          </w:r>
          <w:r>
            <w:rPr>
              <w:rFonts w:hint="eastAsia" w:ascii="黑体" w:hAnsi="黑体" w:eastAsia="黑体" w:cs="黑体"/>
              <w:kern w:val="2"/>
              <w:sz w:val="32"/>
              <w:szCs w:val="32"/>
              <w:highlight w:val="none"/>
              <w:lang w:val="en-US" w:eastAsia="zh-CN" w:bidi="ar-SA"/>
            </w:rPr>
            <w:instrText xml:space="preserve"> HYPERLINK \l _Toc31927 </w:instrText>
          </w:r>
          <w:r>
            <w:rPr>
              <w:rFonts w:hint="eastAsia" w:ascii="黑体" w:hAnsi="黑体" w:eastAsia="黑体" w:cs="黑体"/>
              <w:kern w:val="2"/>
              <w:sz w:val="32"/>
              <w:szCs w:val="32"/>
              <w:highlight w:val="none"/>
              <w:lang w:val="en-US" w:eastAsia="zh-CN" w:bidi="ar-SA"/>
            </w:rPr>
            <w:fldChar w:fldCharType="separate"/>
          </w:r>
          <w:r>
            <w:rPr>
              <w:rFonts w:hint="eastAsia" w:ascii="黑体" w:hAnsi="黑体" w:eastAsia="黑体" w:cs="黑体"/>
              <w:sz w:val="32"/>
              <w:szCs w:val="32"/>
              <w:highlight w:val="none"/>
            </w:rPr>
            <w:t>第</w:t>
          </w:r>
          <w:r>
            <w:rPr>
              <w:rFonts w:hint="eastAsia" w:ascii="黑体" w:hAnsi="黑体" w:eastAsia="黑体" w:cs="黑体"/>
              <w:sz w:val="32"/>
              <w:szCs w:val="32"/>
              <w:highlight w:val="none"/>
              <w:lang w:eastAsia="zh-CN"/>
            </w:rPr>
            <w:t>三</w:t>
          </w:r>
          <w:r>
            <w:rPr>
              <w:rFonts w:hint="eastAsia" w:ascii="黑体" w:hAnsi="黑体" w:eastAsia="黑体" w:cs="黑体"/>
              <w:sz w:val="32"/>
              <w:szCs w:val="32"/>
              <w:highlight w:val="none"/>
            </w:rPr>
            <w:t>部分</w:t>
          </w:r>
          <w:r>
            <w:rPr>
              <w:rFonts w:hint="eastAsia" w:ascii="黑体" w:hAnsi="黑体" w:eastAsia="黑体" w:cs="黑体"/>
              <w:sz w:val="32"/>
              <w:szCs w:val="32"/>
              <w:highlight w:val="none"/>
              <w:lang w:val="en-US" w:eastAsia="zh-CN"/>
            </w:rPr>
            <w:t xml:space="preserve">  </w:t>
          </w:r>
          <w:r>
            <w:rPr>
              <w:rFonts w:hint="eastAsia" w:ascii="黑体" w:hAnsi="黑体" w:eastAsia="黑体" w:cs="黑体"/>
              <w:sz w:val="32"/>
              <w:szCs w:val="32"/>
              <w:highlight w:val="none"/>
            </w:rPr>
            <w:t>名词解释</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_Toc31927 \h </w:instrText>
          </w:r>
          <w:r>
            <w:rPr>
              <w:rFonts w:hint="eastAsia" w:ascii="黑体" w:hAnsi="黑体" w:eastAsia="黑体" w:cs="黑体"/>
              <w:sz w:val="32"/>
              <w:szCs w:val="32"/>
            </w:rPr>
            <w:fldChar w:fldCharType="separate"/>
          </w:r>
          <w:r>
            <w:rPr>
              <w:rFonts w:hint="eastAsia" w:ascii="黑体" w:hAnsi="黑体" w:eastAsia="黑体" w:cs="黑体"/>
              <w:sz w:val="32"/>
              <w:szCs w:val="32"/>
            </w:rPr>
            <w:t>12</w:t>
          </w:r>
          <w:r>
            <w:rPr>
              <w:rFonts w:hint="eastAsia" w:ascii="黑体" w:hAnsi="黑体" w:eastAsia="黑体" w:cs="黑体"/>
              <w:sz w:val="32"/>
              <w:szCs w:val="32"/>
            </w:rPr>
            <w:fldChar w:fldCharType="end"/>
          </w:r>
          <w:r>
            <w:rPr>
              <w:rFonts w:hint="eastAsia" w:ascii="黑体" w:hAnsi="黑体" w:eastAsia="黑体" w:cs="黑体"/>
              <w:color w:val="auto"/>
              <w:kern w:val="2"/>
              <w:sz w:val="32"/>
              <w:szCs w:val="32"/>
              <w:highlight w:val="none"/>
              <w:lang w:val="en-US" w:eastAsia="zh-CN" w:bidi="ar-SA"/>
            </w:rPr>
            <w:fldChar w:fldCharType="end"/>
          </w:r>
        </w:p>
        <w:p w14:paraId="318FD652">
          <w:pPr>
            <w:pStyle w:val="12"/>
            <w:tabs>
              <w:tab w:val="right" w:leader="dot" w:pos="8306"/>
              <w:tab w:val="clear" w:pos="8296"/>
            </w:tabs>
            <w:rPr>
              <w:rFonts w:hint="eastAsia" w:ascii="黑体" w:hAnsi="黑体" w:eastAsia="黑体" w:cs="黑体"/>
              <w:sz w:val="32"/>
              <w:szCs w:val="32"/>
            </w:rPr>
          </w:pPr>
          <w:r>
            <w:rPr>
              <w:rFonts w:hint="eastAsia" w:ascii="黑体" w:hAnsi="黑体" w:eastAsia="黑体" w:cs="黑体"/>
              <w:color w:val="auto"/>
              <w:kern w:val="2"/>
              <w:sz w:val="32"/>
              <w:szCs w:val="32"/>
              <w:highlight w:val="none"/>
              <w:lang w:val="en-US" w:eastAsia="zh-CN" w:bidi="ar-SA"/>
            </w:rPr>
            <w:fldChar w:fldCharType="begin"/>
          </w:r>
          <w:r>
            <w:rPr>
              <w:rFonts w:hint="eastAsia" w:ascii="黑体" w:hAnsi="黑体" w:eastAsia="黑体" w:cs="黑体"/>
              <w:kern w:val="2"/>
              <w:sz w:val="32"/>
              <w:szCs w:val="32"/>
              <w:highlight w:val="none"/>
              <w:lang w:val="en-US" w:eastAsia="zh-CN" w:bidi="ar-SA"/>
            </w:rPr>
            <w:instrText xml:space="preserve"> HYPERLINK \l _Toc17599 </w:instrText>
          </w:r>
          <w:r>
            <w:rPr>
              <w:rFonts w:hint="eastAsia" w:ascii="黑体" w:hAnsi="黑体" w:eastAsia="黑体" w:cs="黑体"/>
              <w:kern w:val="2"/>
              <w:sz w:val="32"/>
              <w:szCs w:val="32"/>
              <w:highlight w:val="none"/>
              <w:lang w:val="en-US" w:eastAsia="zh-CN" w:bidi="ar-SA"/>
            </w:rPr>
            <w:fldChar w:fldCharType="separate"/>
          </w:r>
          <w:r>
            <w:rPr>
              <w:rFonts w:hint="eastAsia" w:ascii="黑体" w:hAnsi="黑体" w:eastAsia="黑体" w:cs="黑体"/>
              <w:sz w:val="32"/>
              <w:szCs w:val="32"/>
              <w:highlight w:val="none"/>
            </w:rPr>
            <w:t>第四部分</w:t>
          </w:r>
          <w:r>
            <w:rPr>
              <w:rFonts w:hint="eastAsia" w:ascii="黑体" w:hAnsi="黑体" w:eastAsia="黑体" w:cs="黑体"/>
              <w:sz w:val="32"/>
              <w:szCs w:val="32"/>
              <w:highlight w:val="none"/>
              <w:lang w:val="en-US" w:eastAsia="zh-CN"/>
            </w:rPr>
            <w:t xml:space="preserve"> </w:t>
          </w:r>
          <w:r>
            <w:rPr>
              <w:rFonts w:hint="eastAsia" w:ascii="黑体" w:hAnsi="黑体" w:eastAsia="黑体" w:cs="黑体"/>
              <w:sz w:val="32"/>
              <w:szCs w:val="32"/>
              <w:highlight w:val="none"/>
            </w:rPr>
            <w:t xml:space="preserve"> 附件</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_Toc17599 \h </w:instrText>
          </w:r>
          <w:r>
            <w:rPr>
              <w:rFonts w:hint="eastAsia" w:ascii="黑体" w:hAnsi="黑体" w:eastAsia="黑体" w:cs="黑体"/>
              <w:sz w:val="32"/>
              <w:szCs w:val="32"/>
            </w:rPr>
            <w:fldChar w:fldCharType="separate"/>
          </w:r>
          <w:r>
            <w:rPr>
              <w:rFonts w:hint="eastAsia" w:ascii="黑体" w:hAnsi="黑体" w:eastAsia="黑体" w:cs="黑体"/>
              <w:sz w:val="32"/>
              <w:szCs w:val="32"/>
            </w:rPr>
            <w:t>14</w:t>
          </w:r>
          <w:r>
            <w:rPr>
              <w:rFonts w:hint="eastAsia" w:ascii="黑体" w:hAnsi="黑体" w:eastAsia="黑体" w:cs="黑体"/>
              <w:sz w:val="32"/>
              <w:szCs w:val="32"/>
            </w:rPr>
            <w:fldChar w:fldCharType="end"/>
          </w:r>
          <w:r>
            <w:rPr>
              <w:rFonts w:hint="eastAsia" w:ascii="黑体" w:hAnsi="黑体" w:eastAsia="黑体" w:cs="黑体"/>
              <w:color w:val="auto"/>
              <w:kern w:val="2"/>
              <w:sz w:val="32"/>
              <w:szCs w:val="32"/>
              <w:highlight w:val="none"/>
              <w:lang w:val="en-US" w:eastAsia="zh-CN" w:bidi="ar-SA"/>
            </w:rPr>
            <w:fldChar w:fldCharType="end"/>
          </w:r>
        </w:p>
        <w:p w14:paraId="56DF4651">
          <w:pPr>
            <w:pStyle w:val="12"/>
            <w:tabs>
              <w:tab w:val="right" w:leader="dot" w:pos="8306"/>
              <w:tab w:val="clear" w:pos="8296"/>
            </w:tabs>
          </w:pPr>
          <w:r>
            <w:rPr>
              <w:rFonts w:hint="eastAsia" w:ascii="黑体" w:hAnsi="黑体" w:eastAsia="黑体" w:cs="黑体"/>
              <w:color w:val="auto"/>
              <w:kern w:val="2"/>
              <w:sz w:val="32"/>
              <w:szCs w:val="32"/>
              <w:highlight w:val="none"/>
              <w:lang w:val="en-US" w:eastAsia="zh-CN" w:bidi="ar-SA"/>
            </w:rPr>
            <w:fldChar w:fldCharType="begin"/>
          </w:r>
          <w:r>
            <w:rPr>
              <w:rFonts w:hint="eastAsia" w:ascii="黑体" w:hAnsi="黑体" w:eastAsia="黑体" w:cs="黑体"/>
              <w:kern w:val="2"/>
              <w:sz w:val="32"/>
              <w:szCs w:val="32"/>
              <w:highlight w:val="none"/>
              <w:lang w:val="en-US" w:eastAsia="zh-CN" w:bidi="ar-SA"/>
            </w:rPr>
            <w:instrText xml:space="preserve"> HYPERLINK \l _Toc6849 </w:instrText>
          </w:r>
          <w:r>
            <w:rPr>
              <w:rFonts w:hint="eastAsia" w:ascii="黑体" w:hAnsi="黑体" w:eastAsia="黑体" w:cs="黑体"/>
              <w:kern w:val="2"/>
              <w:sz w:val="32"/>
              <w:szCs w:val="32"/>
              <w:highlight w:val="none"/>
              <w:lang w:val="en-US" w:eastAsia="zh-CN" w:bidi="ar-SA"/>
            </w:rPr>
            <w:fldChar w:fldCharType="separate"/>
          </w:r>
          <w:r>
            <w:rPr>
              <w:rFonts w:hint="eastAsia" w:ascii="黑体" w:hAnsi="黑体" w:eastAsia="黑体" w:cs="黑体"/>
              <w:sz w:val="32"/>
              <w:szCs w:val="32"/>
              <w:highlight w:val="none"/>
            </w:rPr>
            <w:t>第五部分 附表</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_Toc6849 \h </w:instrText>
          </w:r>
          <w:r>
            <w:rPr>
              <w:rFonts w:hint="eastAsia" w:ascii="黑体" w:hAnsi="黑体" w:eastAsia="黑体" w:cs="黑体"/>
              <w:sz w:val="32"/>
              <w:szCs w:val="32"/>
            </w:rPr>
            <w:fldChar w:fldCharType="separate"/>
          </w:r>
          <w:r>
            <w:rPr>
              <w:rFonts w:hint="eastAsia" w:ascii="黑体" w:hAnsi="黑体" w:eastAsia="黑体" w:cs="黑体"/>
              <w:sz w:val="32"/>
              <w:szCs w:val="32"/>
            </w:rPr>
            <w:t>26</w:t>
          </w:r>
          <w:r>
            <w:rPr>
              <w:rFonts w:hint="eastAsia" w:ascii="黑体" w:hAnsi="黑体" w:eastAsia="黑体" w:cs="黑体"/>
              <w:sz w:val="32"/>
              <w:szCs w:val="32"/>
            </w:rPr>
            <w:fldChar w:fldCharType="end"/>
          </w:r>
          <w:r>
            <w:rPr>
              <w:rFonts w:hint="eastAsia" w:ascii="黑体" w:hAnsi="黑体" w:eastAsia="黑体" w:cs="黑体"/>
              <w:color w:val="auto"/>
              <w:kern w:val="2"/>
              <w:sz w:val="32"/>
              <w:szCs w:val="32"/>
              <w:highlight w:val="none"/>
              <w:lang w:val="en-US" w:eastAsia="zh-CN" w:bidi="ar-SA"/>
            </w:rPr>
            <w:fldChar w:fldCharType="end"/>
          </w:r>
        </w:p>
        <w:p w14:paraId="7BE84FC3">
          <w:pPr>
            <w:pStyle w:val="14"/>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highlight w:val="none"/>
              <w:lang w:val="en-US" w:eastAsia="zh-CN" w:bidi="ar-SA"/>
            </w:rPr>
            <w:fldChar w:fldCharType="begin"/>
          </w:r>
          <w:r>
            <w:rPr>
              <w:rFonts w:hint="eastAsia" w:ascii="仿宋_GB2312" w:hAnsi="仿宋_GB2312" w:eastAsia="仿宋_GB2312" w:cs="仿宋_GB2312"/>
              <w:kern w:val="2"/>
              <w:sz w:val="32"/>
              <w:szCs w:val="32"/>
              <w:highlight w:val="none"/>
              <w:lang w:val="en-US" w:eastAsia="zh-CN" w:bidi="ar-SA"/>
            </w:rPr>
            <w:instrText xml:space="preserve"> HYPERLINK \l _Toc3606 </w:instrText>
          </w:r>
          <w:r>
            <w:rPr>
              <w:rFonts w:hint="eastAsia" w:ascii="仿宋_GB2312" w:hAnsi="仿宋_GB2312" w:eastAsia="仿宋_GB2312" w:cs="仿宋_GB2312"/>
              <w:kern w:val="2"/>
              <w:sz w:val="32"/>
              <w:szCs w:val="32"/>
              <w:highlight w:val="none"/>
              <w:lang w:val="en-US" w:eastAsia="zh-CN" w:bidi="ar-SA"/>
            </w:rPr>
            <w:fldChar w:fldCharType="separate"/>
          </w:r>
          <w:r>
            <w:rPr>
              <w:rFonts w:hint="eastAsia" w:ascii="仿宋_GB2312" w:hAnsi="仿宋_GB2312" w:eastAsia="仿宋_GB2312" w:cs="仿宋_GB2312"/>
              <w:sz w:val="32"/>
              <w:szCs w:val="32"/>
              <w:highlight w:val="none"/>
            </w:rPr>
            <w:t>一、收入支出决算总表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_Toc3606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kern w:val="2"/>
              <w:sz w:val="32"/>
              <w:szCs w:val="32"/>
              <w:highlight w:val="none"/>
              <w:lang w:val="en-US" w:eastAsia="zh-CN" w:bidi="ar-SA"/>
            </w:rPr>
            <w:fldChar w:fldCharType="end"/>
          </w:r>
        </w:p>
        <w:p w14:paraId="7B7DE468">
          <w:pPr>
            <w:pStyle w:val="14"/>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highlight w:val="none"/>
              <w:lang w:val="en-US" w:eastAsia="zh-CN" w:bidi="ar-SA"/>
            </w:rPr>
            <w:fldChar w:fldCharType="begin"/>
          </w:r>
          <w:r>
            <w:rPr>
              <w:rFonts w:hint="eastAsia" w:ascii="仿宋_GB2312" w:hAnsi="仿宋_GB2312" w:eastAsia="仿宋_GB2312" w:cs="仿宋_GB2312"/>
              <w:kern w:val="2"/>
              <w:sz w:val="32"/>
              <w:szCs w:val="32"/>
              <w:highlight w:val="none"/>
              <w:lang w:val="en-US" w:eastAsia="zh-CN" w:bidi="ar-SA"/>
            </w:rPr>
            <w:instrText xml:space="preserve"> HYPERLINK \l _Toc5366 </w:instrText>
          </w:r>
          <w:r>
            <w:rPr>
              <w:rFonts w:hint="eastAsia" w:ascii="仿宋_GB2312" w:hAnsi="仿宋_GB2312" w:eastAsia="仿宋_GB2312" w:cs="仿宋_GB2312"/>
              <w:kern w:val="2"/>
              <w:sz w:val="32"/>
              <w:szCs w:val="32"/>
              <w:highlight w:val="none"/>
              <w:lang w:val="en-US" w:eastAsia="zh-CN" w:bidi="ar-SA"/>
            </w:rPr>
            <w:fldChar w:fldCharType="separate"/>
          </w:r>
          <w:r>
            <w:rPr>
              <w:rFonts w:hint="eastAsia" w:ascii="仿宋_GB2312" w:hAnsi="仿宋_GB2312" w:eastAsia="仿宋_GB2312" w:cs="仿宋_GB2312"/>
              <w:sz w:val="32"/>
              <w:szCs w:val="32"/>
              <w:highlight w:val="none"/>
            </w:rPr>
            <w:t>二、收入决算表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_Toc5366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kern w:val="2"/>
              <w:sz w:val="32"/>
              <w:szCs w:val="32"/>
              <w:highlight w:val="none"/>
              <w:lang w:val="en-US" w:eastAsia="zh-CN" w:bidi="ar-SA"/>
            </w:rPr>
            <w:fldChar w:fldCharType="end"/>
          </w:r>
        </w:p>
        <w:p w14:paraId="06A204C9">
          <w:pPr>
            <w:pStyle w:val="14"/>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highlight w:val="none"/>
              <w:lang w:val="en-US" w:eastAsia="zh-CN" w:bidi="ar-SA"/>
            </w:rPr>
            <w:fldChar w:fldCharType="begin"/>
          </w:r>
          <w:r>
            <w:rPr>
              <w:rFonts w:hint="eastAsia" w:ascii="仿宋_GB2312" w:hAnsi="仿宋_GB2312" w:eastAsia="仿宋_GB2312" w:cs="仿宋_GB2312"/>
              <w:kern w:val="2"/>
              <w:sz w:val="32"/>
              <w:szCs w:val="32"/>
              <w:highlight w:val="none"/>
              <w:lang w:val="en-US" w:eastAsia="zh-CN" w:bidi="ar-SA"/>
            </w:rPr>
            <w:instrText xml:space="preserve"> HYPERLINK \l _Toc23278 </w:instrText>
          </w:r>
          <w:r>
            <w:rPr>
              <w:rFonts w:hint="eastAsia" w:ascii="仿宋_GB2312" w:hAnsi="仿宋_GB2312" w:eastAsia="仿宋_GB2312" w:cs="仿宋_GB2312"/>
              <w:kern w:val="2"/>
              <w:sz w:val="32"/>
              <w:szCs w:val="32"/>
              <w:highlight w:val="none"/>
              <w:lang w:val="en-US" w:eastAsia="zh-CN" w:bidi="ar-SA"/>
            </w:rPr>
            <w:fldChar w:fldCharType="separate"/>
          </w:r>
          <w:r>
            <w:rPr>
              <w:rFonts w:hint="eastAsia" w:ascii="仿宋_GB2312" w:hAnsi="仿宋_GB2312" w:eastAsia="仿宋_GB2312" w:cs="仿宋_GB2312"/>
              <w:sz w:val="32"/>
              <w:szCs w:val="32"/>
              <w:highlight w:val="none"/>
            </w:rPr>
            <w:t>三、支出决算表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_Toc23278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kern w:val="2"/>
              <w:sz w:val="32"/>
              <w:szCs w:val="32"/>
              <w:highlight w:val="none"/>
              <w:lang w:val="en-US" w:eastAsia="zh-CN" w:bidi="ar-SA"/>
            </w:rPr>
            <w:fldChar w:fldCharType="end"/>
          </w:r>
        </w:p>
        <w:p w14:paraId="2F8996A4">
          <w:pPr>
            <w:pStyle w:val="14"/>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highlight w:val="none"/>
              <w:lang w:val="en-US" w:eastAsia="zh-CN" w:bidi="ar-SA"/>
            </w:rPr>
            <w:fldChar w:fldCharType="begin"/>
          </w:r>
          <w:r>
            <w:rPr>
              <w:rFonts w:hint="eastAsia" w:ascii="仿宋_GB2312" w:hAnsi="仿宋_GB2312" w:eastAsia="仿宋_GB2312" w:cs="仿宋_GB2312"/>
              <w:kern w:val="2"/>
              <w:sz w:val="32"/>
              <w:szCs w:val="32"/>
              <w:highlight w:val="none"/>
              <w:lang w:val="en-US" w:eastAsia="zh-CN" w:bidi="ar-SA"/>
            </w:rPr>
            <w:instrText xml:space="preserve"> HYPERLINK \l _Toc16815 </w:instrText>
          </w:r>
          <w:r>
            <w:rPr>
              <w:rFonts w:hint="eastAsia" w:ascii="仿宋_GB2312" w:hAnsi="仿宋_GB2312" w:eastAsia="仿宋_GB2312" w:cs="仿宋_GB2312"/>
              <w:kern w:val="2"/>
              <w:sz w:val="32"/>
              <w:szCs w:val="32"/>
              <w:highlight w:val="none"/>
              <w:lang w:val="en-US" w:eastAsia="zh-CN" w:bidi="ar-SA"/>
            </w:rPr>
            <w:fldChar w:fldCharType="separate"/>
          </w:r>
          <w:r>
            <w:rPr>
              <w:rFonts w:hint="eastAsia" w:ascii="仿宋_GB2312" w:hAnsi="仿宋_GB2312" w:eastAsia="仿宋_GB2312" w:cs="仿宋_GB2312"/>
              <w:sz w:val="32"/>
              <w:szCs w:val="32"/>
              <w:highlight w:val="none"/>
            </w:rPr>
            <w:t>四、财政拨款收入支出决算总表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_Toc16815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kern w:val="2"/>
              <w:sz w:val="32"/>
              <w:szCs w:val="32"/>
              <w:highlight w:val="none"/>
              <w:lang w:val="en-US" w:eastAsia="zh-CN" w:bidi="ar-SA"/>
            </w:rPr>
            <w:fldChar w:fldCharType="end"/>
          </w:r>
        </w:p>
        <w:p w14:paraId="227B881F">
          <w:pPr>
            <w:pStyle w:val="14"/>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highlight w:val="none"/>
              <w:lang w:val="en-US" w:eastAsia="zh-CN" w:bidi="ar-SA"/>
            </w:rPr>
            <w:fldChar w:fldCharType="begin"/>
          </w:r>
          <w:r>
            <w:rPr>
              <w:rFonts w:hint="eastAsia" w:ascii="仿宋_GB2312" w:hAnsi="仿宋_GB2312" w:eastAsia="仿宋_GB2312" w:cs="仿宋_GB2312"/>
              <w:kern w:val="2"/>
              <w:sz w:val="32"/>
              <w:szCs w:val="32"/>
              <w:highlight w:val="none"/>
              <w:lang w:val="en-US" w:eastAsia="zh-CN" w:bidi="ar-SA"/>
            </w:rPr>
            <w:instrText xml:space="preserve"> HYPERLINK \l _Toc18975 </w:instrText>
          </w:r>
          <w:r>
            <w:rPr>
              <w:rFonts w:hint="eastAsia" w:ascii="仿宋_GB2312" w:hAnsi="仿宋_GB2312" w:eastAsia="仿宋_GB2312" w:cs="仿宋_GB2312"/>
              <w:kern w:val="2"/>
              <w:sz w:val="32"/>
              <w:szCs w:val="32"/>
              <w:highlight w:val="none"/>
              <w:lang w:val="en-US" w:eastAsia="zh-CN" w:bidi="ar-SA"/>
            </w:rPr>
            <w:fldChar w:fldCharType="separate"/>
          </w:r>
          <w:r>
            <w:rPr>
              <w:rFonts w:hint="eastAsia" w:ascii="仿宋_GB2312" w:hAnsi="仿宋_GB2312" w:eastAsia="仿宋_GB2312" w:cs="仿宋_GB2312"/>
              <w:sz w:val="32"/>
              <w:szCs w:val="32"/>
              <w:highlight w:val="none"/>
            </w:rPr>
            <w:t>五、财政拨款支出决算明细表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_Toc18975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kern w:val="2"/>
              <w:sz w:val="32"/>
              <w:szCs w:val="32"/>
              <w:highlight w:val="none"/>
              <w:lang w:val="en-US" w:eastAsia="zh-CN" w:bidi="ar-SA"/>
            </w:rPr>
            <w:fldChar w:fldCharType="end"/>
          </w:r>
        </w:p>
        <w:p w14:paraId="0E71A901">
          <w:pPr>
            <w:pStyle w:val="14"/>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highlight w:val="none"/>
              <w:lang w:val="en-US" w:eastAsia="zh-CN" w:bidi="ar-SA"/>
            </w:rPr>
            <w:fldChar w:fldCharType="begin"/>
          </w:r>
          <w:r>
            <w:rPr>
              <w:rFonts w:hint="eastAsia" w:ascii="仿宋_GB2312" w:hAnsi="仿宋_GB2312" w:eastAsia="仿宋_GB2312" w:cs="仿宋_GB2312"/>
              <w:kern w:val="2"/>
              <w:sz w:val="32"/>
              <w:szCs w:val="32"/>
              <w:highlight w:val="none"/>
              <w:lang w:val="en-US" w:eastAsia="zh-CN" w:bidi="ar-SA"/>
            </w:rPr>
            <w:instrText xml:space="preserve"> HYPERLINK \l _Toc1704 </w:instrText>
          </w:r>
          <w:r>
            <w:rPr>
              <w:rFonts w:hint="eastAsia" w:ascii="仿宋_GB2312" w:hAnsi="仿宋_GB2312" w:eastAsia="仿宋_GB2312" w:cs="仿宋_GB2312"/>
              <w:kern w:val="2"/>
              <w:sz w:val="32"/>
              <w:szCs w:val="32"/>
              <w:highlight w:val="none"/>
              <w:lang w:val="en-US" w:eastAsia="zh-CN" w:bidi="ar-SA"/>
            </w:rPr>
            <w:fldChar w:fldCharType="separate"/>
          </w:r>
          <w:r>
            <w:rPr>
              <w:rFonts w:hint="eastAsia" w:ascii="仿宋_GB2312" w:hAnsi="仿宋_GB2312" w:eastAsia="仿宋_GB2312" w:cs="仿宋_GB2312"/>
              <w:sz w:val="32"/>
              <w:szCs w:val="32"/>
              <w:highlight w:val="none"/>
            </w:rPr>
            <w:t>六、一般公共预算财政拨款支出决算表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_Toc1704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kern w:val="2"/>
              <w:sz w:val="32"/>
              <w:szCs w:val="32"/>
              <w:highlight w:val="none"/>
              <w:lang w:val="en-US" w:eastAsia="zh-CN" w:bidi="ar-SA"/>
            </w:rPr>
            <w:fldChar w:fldCharType="end"/>
          </w:r>
        </w:p>
        <w:p w14:paraId="14009DCE">
          <w:pPr>
            <w:pStyle w:val="14"/>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highlight w:val="none"/>
              <w:lang w:val="en-US" w:eastAsia="zh-CN" w:bidi="ar-SA"/>
            </w:rPr>
            <w:fldChar w:fldCharType="begin"/>
          </w:r>
          <w:r>
            <w:rPr>
              <w:rFonts w:hint="eastAsia" w:ascii="仿宋_GB2312" w:hAnsi="仿宋_GB2312" w:eastAsia="仿宋_GB2312" w:cs="仿宋_GB2312"/>
              <w:kern w:val="2"/>
              <w:sz w:val="32"/>
              <w:szCs w:val="32"/>
              <w:highlight w:val="none"/>
              <w:lang w:val="en-US" w:eastAsia="zh-CN" w:bidi="ar-SA"/>
            </w:rPr>
            <w:instrText xml:space="preserve"> HYPERLINK \l _Toc27570 </w:instrText>
          </w:r>
          <w:r>
            <w:rPr>
              <w:rFonts w:hint="eastAsia" w:ascii="仿宋_GB2312" w:hAnsi="仿宋_GB2312" w:eastAsia="仿宋_GB2312" w:cs="仿宋_GB2312"/>
              <w:kern w:val="2"/>
              <w:sz w:val="32"/>
              <w:szCs w:val="32"/>
              <w:highlight w:val="none"/>
              <w:lang w:val="en-US" w:eastAsia="zh-CN" w:bidi="ar-SA"/>
            </w:rPr>
            <w:fldChar w:fldCharType="separate"/>
          </w:r>
          <w:r>
            <w:rPr>
              <w:rFonts w:hint="eastAsia" w:ascii="仿宋_GB2312" w:hAnsi="仿宋_GB2312" w:eastAsia="仿宋_GB2312" w:cs="仿宋_GB2312"/>
              <w:sz w:val="32"/>
              <w:szCs w:val="32"/>
              <w:highlight w:val="none"/>
            </w:rPr>
            <w:t>七、一般公共预算财政拨款支出决算明细表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_Toc27570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kern w:val="2"/>
              <w:sz w:val="32"/>
              <w:szCs w:val="32"/>
              <w:highlight w:val="none"/>
              <w:lang w:val="en-US" w:eastAsia="zh-CN" w:bidi="ar-SA"/>
            </w:rPr>
            <w:fldChar w:fldCharType="end"/>
          </w:r>
        </w:p>
        <w:p w14:paraId="70D96520">
          <w:pPr>
            <w:pStyle w:val="14"/>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highlight w:val="none"/>
              <w:lang w:val="en-US" w:eastAsia="zh-CN" w:bidi="ar-SA"/>
            </w:rPr>
            <w:fldChar w:fldCharType="begin"/>
          </w:r>
          <w:r>
            <w:rPr>
              <w:rFonts w:hint="eastAsia" w:ascii="仿宋_GB2312" w:hAnsi="仿宋_GB2312" w:eastAsia="仿宋_GB2312" w:cs="仿宋_GB2312"/>
              <w:kern w:val="2"/>
              <w:sz w:val="32"/>
              <w:szCs w:val="32"/>
              <w:highlight w:val="none"/>
              <w:lang w:val="en-US" w:eastAsia="zh-CN" w:bidi="ar-SA"/>
            </w:rPr>
            <w:instrText xml:space="preserve"> HYPERLINK \l _Toc22552 </w:instrText>
          </w:r>
          <w:r>
            <w:rPr>
              <w:rFonts w:hint="eastAsia" w:ascii="仿宋_GB2312" w:hAnsi="仿宋_GB2312" w:eastAsia="仿宋_GB2312" w:cs="仿宋_GB2312"/>
              <w:kern w:val="2"/>
              <w:sz w:val="32"/>
              <w:szCs w:val="32"/>
              <w:highlight w:val="none"/>
              <w:lang w:val="en-US" w:eastAsia="zh-CN" w:bidi="ar-SA"/>
            </w:rPr>
            <w:fldChar w:fldCharType="separate"/>
          </w:r>
          <w:r>
            <w:rPr>
              <w:rFonts w:hint="eastAsia" w:ascii="仿宋_GB2312" w:hAnsi="仿宋_GB2312" w:eastAsia="仿宋_GB2312" w:cs="仿宋_GB2312"/>
              <w:sz w:val="32"/>
              <w:szCs w:val="32"/>
              <w:highlight w:val="none"/>
            </w:rPr>
            <w:t>八、一般公共预算财政拨款基本支出决算表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_Toc22552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kern w:val="2"/>
              <w:sz w:val="32"/>
              <w:szCs w:val="32"/>
              <w:highlight w:val="none"/>
              <w:lang w:val="en-US" w:eastAsia="zh-CN" w:bidi="ar-SA"/>
            </w:rPr>
            <w:fldChar w:fldCharType="end"/>
          </w:r>
        </w:p>
        <w:p w14:paraId="2830ADA2">
          <w:pPr>
            <w:pStyle w:val="14"/>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highlight w:val="none"/>
              <w:lang w:val="en-US" w:eastAsia="zh-CN" w:bidi="ar-SA"/>
            </w:rPr>
            <w:fldChar w:fldCharType="begin"/>
          </w:r>
          <w:r>
            <w:rPr>
              <w:rFonts w:hint="eastAsia" w:ascii="仿宋_GB2312" w:hAnsi="仿宋_GB2312" w:eastAsia="仿宋_GB2312" w:cs="仿宋_GB2312"/>
              <w:kern w:val="2"/>
              <w:sz w:val="32"/>
              <w:szCs w:val="32"/>
              <w:highlight w:val="none"/>
              <w:lang w:val="en-US" w:eastAsia="zh-CN" w:bidi="ar-SA"/>
            </w:rPr>
            <w:instrText xml:space="preserve"> HYPERLINK \l _Toc15882 </w:instrText>
          </w:r>
          <w:r>
            <w:rPr>
              <w:rFonts w:hint="eastAsia" w:ascii="仿宋_GB2312" w:hAnsi="仿宋_GB2312" w:eastAsia="仿宋_GB2312" w:cs="仿宋_GB2312"/>
              <w:kern w:val="2"/>
              <w:sz w:val="32"/>
              <w:szCs w:val="32"/>
              <w:highlight w:val="none"/>
              <w:lang w:val="en-US" w:eastAsia="zh-CN" w:bidi="ar-SA"/>
            </w:rPr>
            <w:fldChar w:fldCharType="separate"/>
          </w:r>
          <w:r>
            <w:rPr>
              <w:rFonts w:hint="eastAsia" w:ascii="仿宋_GB2312" w:hAnsi="仿宋_GB2312" w:eastAsia="仿宋_GB2312" w:cs="仿宋_GB2312"/>
              <w:sz w:val="32"/>
              <w:szCs w:val="32"/>
              <w:highlight w:val="none"/>
            </w:rPr>
            <w:t>九、一般公共预算财政拨款项目支出决算表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_Toc15882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kern w:val="2"/>
              <w:sz w:val="32"/>
              <w:szCs w:val="32"/>
              <w:highlight w:val="none"/>
              <w:lang w:val="en-US" w:eastAsia="zh-CN" w:bidi="ar-SA"/>
            </w:rPr>
            <w:fldChar w:fldCharType="end"/>
          </w:r>
        </w:p>
        <w:p w14:paraId="1B87DE3E">
          <w:pPr>
            <w:pStyle w:val="14"/>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highlight w:val="none"/>
              <w:lang w:val="en-US" w:eastAsia="zh-CN" w:bidi="ar-SA"/>
            </w:rPr>
            <w:fldChar w:fldCharType="begin"/>
          </w:r>
          <w:r>
            <w:rPr>
              <w:rFonts w:hint="eastAsia" w:ascii="仿宋_GB2312" w:hAnsi="仿宋_GB2312" w:eastAsia="仿宋_GB2312" w:cs="仿宋_GB2312"/>
              <w:kern w:val="2"/>
              <w:sz w:val="32"/>
              <w:szCs w:val="32"/>
              <w:highlight w:val="none"/>
              <w:lang w:val="en-US" w:eastAsia="zh-CN" w:bidi="ar-SA"/>
            </w:rPr>
            <w:instrText xml:space="preserve"> HYPERLINK \l _Toc20916 </w:instrText>
          </w:r>
          <w:r>
            <w:rPr>
              <w:rFonts w:hint="eastAsia" w:ascii="仿宋_GB2312" w:hAnsi="仿宋_GB2312" w:eastAsia="仿宋_GB2312" w:cs="仿宋_GB2312"/>
              <w:kern w:val="2"/>
              <w:sz w:val="32"/>
              <w:szCs w:val="32"/>
              <w:highlight w:val="none"/>
              <w:lang w:val="en-US" w:eastAsia="zh-CN" w:bidi="ar-SA"/>
            </w:rPr>
            <w:fldChar w:fldCharType="separate"/>
          </w:r>
          <w:r>
            <w:rPr>
              <w:rFonts w:hint="eastAsia" w:ascii="仿宋_GB2312" w:hAnsi="仿宋_GB2312" w:eastAsia="仿宋_GB2312" w:cs="仿宋_GB2312"/>
              <w:sz w:val="32"/>
              <w:szCs w:val="32"/>
              <w:highlight w:val="none"/>
            </w:rPr>
            <w:t>十、政府性基金预算财政拨款收入支出决算表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_Toc20916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kern w:val="2"/>
              <w:sz w:val="32"/>
              <w:szCs w:val="32"/>
              <w:highlight w:val="none"/>
              <w:lang w:val="en-US" w:eastAsia="zh-CN" w:bidi="ar-SA"/>
            </w:rPr>
            <w:fldChar w:fldCharType="end"/>
          </w:r>
        </w:p>
        <w:p w14:paraId="10AA3902">
          <w:pPr>
            <w:pStyle w:val="14"/>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highlight w:val="none"/>
              <w:lang w:val="en-US" w:eastAsia="zh-CN" w:bidi="ar-SA"/>
            </w:rPr>
            <w:fldChar w:fldCharType="begin"/>
          </w:r>
          <w:r>
            <w:rPr>
              <w:rFonts w:hint="eastAsia" w:ascii="仿宋_GB2312" w:hAnsi="仿宋_GB2312" w:eastAsia="仿宋_GB2312" w:cs="仿宋_GB2312"/>
              <w:kern w:val="2"/>
              <w:sz w:val="32"/>
              <w:szCs w:val="32"/>
              <w:highlight w:val="none"/>
              <w:lang w:val="en-US" w:eastAsia="zh-CN" w:bidi="ar-SA"/>
            </w:rPr>
            <w:instrText xml:space="preserve"> HYPERLINK \l _Toc12644 </w:instrText>
          </w:r>
          <w:r>
            <w:rPr>
              <w:rFonts w:hint="eastAsia" w:ascii="仿宋_GB2312" w:hAnsi="仿宋_GB2312" w:eastAsia="仿宋_GB2312" w:cs="仿宋_GB2312"/>
              <w:kern w:val="2"/>
              <w:sz w:val="32"/>
              <w:szCs w:val="32"/>
              <w:highlight w:val="none"/>
              <w:lang w:val="en-US" w:eastAsia="zh-CN" w:bidi="ar-SA"/>
            </w:rPr>
            <w:fldChar w:fldCharType="separate"/>
          </w:r>
          <w:r>
            <w:rPr>
              <w:rFonts w:hint="eastAsia" w:ascii="仿宋_GB2312" w:hAnsi="仿宋_GB2312" w:eastAsia="仿宋_GB2312" w:cs="仿宋_GB2312"/>
              <w:sz w:val="32"/>
              <w:szCs w:val="32"/>
              <w:highlight w:val="none"/>
            </w:rPr>
            <w:t>十一、国有资本经营预算</w:t>
          </w:r>
          <w:r>
            <w:rPr>
              <w:rFonts w:hint="eastAsia" w:ascii="仿宋_GB2312" w:hAnsi="仿宋_GB2312" w:eastAsia="仿宋_GB2312" w:cs="仿宋_GB2312"/>
              <w:sz w:val="32"/>
              <w:szCs w:val="32"/>
              <w:highlight w:val="none"/>
              <w:lang w:eastAsia="zh-CN"/>
            </w:rPr>
            <w:t>财政拨款收入</w:t>
          </w:r>
          <w:r>
            <w:rPr>
              <w:rFonts w:hint="eastAsia" w:ascii="仿宋_GB2312" w:hAnsi="仿宋_GB2312" w:eastAsia="仿宋_GB2312" w:cs="仿宋_GB2312"/>
              <w:sz w:val="32"/>
              <w:szCs w:val="32"/>
              <w:highlight w:val="none"/>
            </w:rPr>
            <w:t>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_Toc12644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kern w:val="2"/>
              <w:sz w:val="32"/>
              <w:szCs w:val="32"/>
              <w:highlight w:val="none"/>
              <w:lang w:val="en-US" w:eastAsia="zh-CN" w:bidi="ar-SA"/>
            </w:rPr>
            <w:fldChar w:fldCharType="end"/>
          </w:r>
        </w:p>
        <w:p w14:paraId="5C651E9D">
          <w:pPr>
            <w:pStyle w:val="14"/>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highlight w:val="none"/>
              <w:lang w:val="en-US" w:eastAsia="zh-CN" w:bidi="ar-SA"/>
            </w:rPr>
            <w:fldChar w:fldCharType="begin"/>
          </w:r>
          <w:r>
            <w:rPr>
              <w:rFonts w:hint="eastAsia" w:ascii="仿宋_GB2312" w:hAnsi="仿宋_GB2312" w:eastAsia="仿宋_GB2312" w:cs="仿宋_GB2312"/>
              <w:kern w:val="2"/>
              <w:sz w:val="32"/>
              <w:szCs w:val="32"/>
              <w:highlight w:val="none"/>
              <w:lang w:val="en-US" w:eastAsia="zh-CN" w:bidi="ar-SA"/>
            </w:rPr>
            <w:instrText xml:space="preserve"> HYPERLINK \l _Toc16574 </w:instrText>
          </w:r>
          <w:r>
            <w:rPr>
              <w:rFonts w:hint="eastAsia" w:ascii="仿宋_GB2312" w:hAnsi="仿宋_GB2312" w:eastAsia="仿宋_GB2312" w:cs="仿宋_GB2312"/>
              <w:kern w:val="2"/>
              <w:sz w:val="32"/>
              <w:szCs w:val="32"/>
              <w:highlight w:val="none"/>
              <w:lang w:val="en-US" w:eastAsia="zh-CN" w:bidi="ar-SA"/>
            </w:rPr>
            <w:fldChar w:fldCharType="separate"/>
          </w:r>
          <w:r>
            <w:rPr>
              <w:rFonts w:hint="eastAsia" w:ascii="仿宋_GB2312" w:hAnsi="仿宋_GB2312" w:eastAsia="仿宋_GB2312" w:cs="仿宋_GB2312"/>
              <w:sz w:val="32"/>
              <w:szCs w:val="32"/>
              <w:highlight w:val="none"/>
            </w:rPr>
            <w:t>十二、</w:t>
          </w:r>
          <w:r>
            <w:rPr>
              <w:rFonts w:hint="eastAsia" w:ascii="仿宋_GB2312" w:hAnsi="仿宋_GB2312" w:eastAsia="仿宋_GB2312" w:cs="仿宋_GB2312"/>
              <w:sz w:val="32"/>
              <w:szCs w:val="32"/>
              <w:highlight w:val="none"/>
              <w:lang w:eastAsia="zh-CN"/>
            </w:rPr>
            <w:t>国有资本经营预算财政拨款支出决算表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_Toc16574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kern w:val="2"/>
              <w:sz w:val="32"/>
              <w:szCs w:val="32"/>
              <w:highlight w:val="none"/>
              <w:lang w:val="en-US" w:eastAsia="zh-CN" w:bidi="ar-SA"/>
            </w:rPr>
            <w:fldChar w:fldCharType="end"/>
          </w:r>
        </w:p>
        <w:p w14:paraId="19B07E08">
          <w:pPr>
            <w:pStyle w:val="14"/>
            <w:tabs>
              <w:tab w:val="right" w:leader="dot" w:pos="8306"/>
              <w:tab w:val="clear" w:pos="8296"/>
            </w:tabs>
          </w:pPr>
          <w:r>
            <w:rPr>
              <w:rFonts w:hint="eastAsia" w:ascii="仿宋_GB2312" w:hAnsi="仿宋_GB2312" w:eastAsia="仿宋_GB2312" w:cs="仿宋_GB2312"/>
              <w:color w:val="auto"/>
              <w:kern w:val="2"/>
              <w:sz w:val="32"/>
              <w:szCs w:val="32"/>
              <w:highlight w:val="none"/>
              <w:lang w:val="en-US" w:eastAsia="zh-CN" w:bidi="ar-SA"/>
            </w:rPr>
            <w:fldChar w:fldCharType="begin"/>
          </w:r>
          <w:r>
            <w:rPr>
              <w:rFonts w:hint="eastAsia" w:ascii="仿宋_GB2312" w:hAnsi="仿宋_GB2312" w:eastAsia="仿宋_GB2312" w:cs="仿宋_GB2312"/>
              <w:kern w:val="2"/>
              <w:sz w:val="32"/>
              <w:szCs w:val="32"/>
              <w:highlight w:val="none"/>
              <w:lang w:val="en-US" w:eastAsia="zh-CN" w:bidi="ar-SA"/>
            </w:rPr>
            <w:instrText xml:space="preserve"> HYPERLINK \l _Toc19492 </w:instrText>
          </w:r>
          <w:r>
            <w:rPr>
              <w:rFonts w:hint="eastAsia" w:ascii="仿宋_GB2312" w:hAnsi="仿宋_GB2312" w:eastAsia="仿宋_GB2312" w:cs="仿宋_GB2312"/>
              <w:kern w:val="2"/>
              <w:sz w:val="32"/>
              <w:szCs w:val="32"/>
              <w:highlight w:val="none"/>
              <w:lang w:val="en-US" w:eastAsia="zh-CN" w:bidi="ar-SA"/>
            </w:rPr>
            <w:fldChar w:fldCharType="separate"/>
          </w:r>
          <w:r>
            <w:rPr>
              <w:rFonts w:hint="eastAsia" w:ascii="仿宋_GB2312" w:hAnsi="仿宋_GB2312" w:eastAsia="仿宋_GB2312" w:cs="仿宋_GB2312"/>
              <w:sz w:val="32"/>
              <w:szCs w:val="32"/>
              <w:highlight w:val="none"/>
            </w:rPr>
            <w:t>十三、</w:t>
          </w:r>
          <w:r>
            <w:rPr>
              <w:rFonts w:hint="eastAsia" w:ascii="仿宋_GB2312" w:hAnsi="仿宋_GB2312" w:eastAsia="仿宋_GB2312" w:cs="仿宋_GB2312"/>
              <w:sz w:val="32"/>
              <w:szCs w:val="32"/>
              <w:highlight w:val="none"/>
              <w:lang w:eastAsia="zh-CN"/>
            </w:rPr>
            <w:t>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_Toc19492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kern w:val="2"/>
              <w:sz w:val="32"/>
              <w:szCs w:val="32"/>
              <w:highlight w:val="none"/>
              <w:lang w:val="en-US" w:eastAsia="zh-CN" w:bidi="ar-SA"/>
            </w:rPr>
            <w:fldChar w:fldCharType="end"/>
          </w:r>
        </w:p>
        <w:p w14:paraId="0C82CC20">
          <w:pPr>
            <w:pStyle w:val="2"/>
            <w:jc w:val="center"/>
            <w:rPr>
              <w:rFonts w:hint="eastAsia" w:ascii="Times New Roman" w:hAnsi="Times New Roman" w:eastAsia="方正小标宋简体" w:cs="Times New Roman"/>
              <w:color w:val="auto"/>
              <w:kern w:val="2"/>
              <w:sz w:val="30"/>
              <w:szCs w:val="44"/>
              <w:highlight w:val="none"/>
              <w:lang w:val="en-US" w:eastAsia="zh-CN" w:bidi="ar-SA"/>
            </w:rPr>
          </w:pPr>
          <w:r>
            <w:rPr>
              <w:rFonts w:hint="eastAsia" w:ascii="Times New Roman" w:hAnsi="Times New Roman" w:eastAsia="方正小标宋简体" w:cs="Times New Roman"/>
              <w:color w:val="auto"/>
              <w:kern w:val="2"/>
              <w:szCs w:val="44"/>
              <w:highlight w:val="none"/>
              <w:lang w:val="en-US" w:eastAsia="zh-CN" w:bidi="ar-SA"/>
            </w:rPr>
            <w:fldChar w:fldCharType="end"/>
          </w:r>
        </w:p>
      </w:sdtContent>
    </w:sdt>
    <w:p w14:paraId="25BF5039">
      <w:pPr>
        <w:pStyle w:val="2"/>
        <w:jc w:val="center"/>
        <w:rPr>
          <w:rFonts w:hint="eastAsia" w:ascii="Times New Roman" w:hAnsi="Times New Roman" w:eastAsia="方正小标宋简体" w:cs="Times New Roman"/>
          <w:color w:val="auto"/>
          <w:kern w:val="2"/>
          <w:sz w:val="30"/>
          <w:szCs w:val="44"/>
          <w:highlight w:val="none"/>
          <w:lang w:val="en-US" w:eastAsia="zh-CN" w:bidi="ar-SA"/>
        </w:rPr>
      </w:pPr>
    </w:p>
    <w:p w14:paraId="0A40B85B">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val="en-US" w:eastAsia="zh-CN"/>
        </w:rPr>
      </w:pPr>
    </w:p>
    <w:p w14:paraId="6DE82B38">
      <w:pPr>
        <w:widowControl/>
        <w:jc w:val="center"/>
        <w:rPr>
          <w:rFonts w:hint="eastAsia" w:ascii="Times New Roman" w:hAnsi="Times New Roman" w:eastAsia="黑体"/>
          <w:color w:val="auto"/>
          <w:sz w:val="48"/>
          <w:szCs w:val="48"/>
          <w:highlight w:val="none"/>
        </w:rPr>
        <w:sectPr>
          <w:pgSz w:w="11906" w:h="16838"/>
          <w:pgMar w:top="1440" w:right="1800" w:bottom="1440" w:left="1800" w:header="851" w:footer="992" w:gutter="0"/>
          <w:pgNumType w:fmt="decimal" w:start="1"/>
          <w:cols w:space="425" w:num="1"/>
          <w:titlePg/>
          <w:docGrid w:type="lines" w:linePitch="312" w:charSpace="0"/>
        </w:sectPr>
      </w:pPr>
    </w:p>
    <w:p w14:paraId="6B9AAFEB">
      <w:pPr>
        <w:pStyle w:val="3"/>
        <w:jc w:val="center"/>
        <w:rPr>
          <w:rStyle w:val="28"/>
          <w:rFonts w:hint="eastAsia" w:ascii="Times New Roman" w:hAnsi="Times New Roman" w:eastAsia="方正小标宋简体" w:cs="方正小标宋简体"/>
          <w:b/>
          <w:bCs w:val="0"/>
          <w:color w:val="auto"/>
          <w:highlight w:val="none"/>
        </w:rPr>
      </w:pPr>
      <w:bookmarkStart w:id="12" w:name="_Toc15377196"/>
      <w:bookmarkStart w:id="13" w:name="_Toc15396599"/>
      <w:bookmarkStart w:id="14" w:name="_Toc28122"/>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28"/>
          <w:rFonts w:hint="eastAsia" w:ascii="Times New Roman" w:hAnsi="Times New Roman" w:eastAsia="方正小标宋简体" w:cs="方正小标宋简体"/>
          <w:b w:val="0"/>
          <w:bCs w:val="0"/>
          <w:color w:val="auto"/>
          <w:highlight w:val="none"/>
        </w:rPr>
        <w:t>部门概况</w:t>
      </w:r>
      <w:bookmarkEnd w:id="12"/>
      <w:bookmarkEnd w:id="13"/>
      <w:bookmarkEnd w:id="14"/>
    </w:p>
    <w:p w14:paraId="45666525">
      <w:pPr>
        <w:pStyle w:val="4"/>
        <w:keepNext/>
        <w:keepLines/>
        <w:pageBreakBefore w:val="0"/>
        <w:widowControl w:val="0"/>
        <w:kinsoku/>
        <w:wordWrap/>
        <w:overflowPunct/>
        <w:topLinePunct w:val="0"/>
        <w:autoSpaceDE/>
        <w:autoSpaceDN/>
        <w:bidi w:val="0"/>
        <w:adjustRightInd/>
        <w:snapToGrid/>
        <w:spacing w:before="0" w:after="0" w:line="560" w:lineRule="exact"/>
        <w:textAlignment w:val="auto"/>
        <w:rPr>
          <w:rFonts w:hint="eastAsia" w:ascii="Times New Roman" w:hAnsi="Times New Roman" w:eastAsia="黑体"/>
          <w:b w:val="0"/>
          <w:color w:val="auto"/>
          <w:highlight w:val="none"/>
          <w:lang w:eastAsia="zh-CN"/>
        </w:rPr>
      </w:pPr>
      <w:bookmarkStart w:id="15" w:name="_Toc15377197"/>
      <w:bookmarkStart w:id="16" w:name="_Toc15396600"/>
      <w:bookmarkStart w:id="17" w:name="_Toc17564"/>
      <w:r>
        <w:rPr>
          <w:rFonts w:hint="eastAsia" w:ascii="Times New Roman" w:hAnsi="Times New Roman" w:eastAsia="黑体"/>
          <w:b w:val="0"/>
          <w:color w:val="auto"/>
          <w:highlight w:val="none"/>
        </w:rPr>
        <w:t>一、</w:t>
      </w:r>
      <w:bookmarkEnd w:id="15"/>
      <w:bookmarkEnd w:id="16"/>
      <w:r>
        <w:rPr>
          <w:rFonts w:hint="eastAsia" w:ascii="Times New Roman" w:hAnsi="Times New Roman" w:eastAsia="黑体"/>
          <w:b w:val="0"/>
          <w:color w:val="auto"/>
          <w:highlight w:val="none"/>
          <w:lang w:eastAsia="zh-CN"/>
        </w:rPr>
        <w:t>部门职责</w:t>
      </w:r>
      <w:bookmarkEnd w:id="17"/>
    </w:p>
    <w:p w14:paraId="0B65A13C">
      <w:pPr>
        <w:ind w:firstLine="640" w:firstLineChars="200"/>
        <w:rPr>
          <w:rFonts w:ascii="仿宋" w:hAnsi="仿宋" w:eastAsia="仿宋"/>
          <w:sz w:val="32"/>
          <w:szCs w:val="32"/>
        </w:rPr>
      </w:pPr>
      <w:bookmarkStart w:id="18" w:name="_Toc15377200"/>
      <w:bookmarkStart w:id="19" w:name="_Toc18684"/>
      <w:bookmarkStart w:id="20" w:name="_Toc15396601"/>
      <w:r>
        <w:rPr>
          <w:rFonts w:hint="eastAsia" w:ascii="仿宋" w:hAnsi="仿宋" w:eastAsia="仿宋"/>
          <w:sz w:val="32"/>
          <w:szCs w:val="32"/>
        </w:rPr>
        <w:t>九三学社四川省委员会系民主党派省级组织，主要职能是民主监督、参政议政、参加中国共产党领导的政治协商。</w:t>
      </w:r>
    </w:p>
    <w:p w14:paraId="7FF5BF67">
      <w:pPr>
        <w:pStyle w:val="4"/>
        <w:keepNext/>
        <w:keepLines/>
        <w:pageBreakBefore w:val="0"/>
        <w:widowControl w:val="0"/>
        <w:kinsoku/>
        <w:wordWrap/>
        <w:overflowPunct/>
        <w:topLinePunct w:val="0"/>
        <w:autoSpaceDE/>
        <w:autoSpaceDN/>
        <w:bidi w:val="0"/>
        <w:adjustRightInd/>
        <w:snapToGrid/>
        <w:spacing w:before="0" w:after="0" w:line="560" w:lineRule="exact"/>
        <w:textAlignment w:val="auto"/>
        <w:rPr>
          <w:rFonts w:hint="eastAsia" w:ascii="Times New Roman" w:hAnsi="Times New Roman" w:eastAsia="黑体"/>
          <w:b w:val="0"/>
          <w:color w:val="auto"/>
          <w:highlight w:val="none"/>
        </w:rPr>
      </w:pPr>
      <w:r>
        <w:rPr>
          <w:rFonts w:hint="eastAsia" w:ascii="Times New Roman" w:hAnsi="Times New Roman" w:eastAsia="黑体"/>
          <w:b w:val="0"/>
          <w:color w:val="auto"/>
          <w:highlight w:val="none"/>
        </w:rPr>
        <w:t>二、机构设置</w:t>
      </w:r>
      <w:bookmarkEnd w:id="18"/>
      <w:bookmarkEnd w:id="19"/>
      <w:bookmarkEnd w:id="20"/>
    </w:p>
    <w:p w14:paraId="3550FFA8">
      <w:pPr>
        <w:ind w:firstLine="800" w:firstLineChars="25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九三学社四川省委员会下属二级</w:t>
      </w:r>
      <w:r>
        <w:rPr>
          <w:rFonts w:hint="eastAsia" w:ascii="Times New Roman" w:hAnsi="Times New Roman" w:eastAsia="仿宋_GB2312" w:cs="仿宋_GB2312"/>
          <w:color w:val="auto"/>
          <w:sz w:val="32"/>
          <w:szCs w:val="32"/>
          <w:highlight w:val="none"/>
          <w:lang w:eastAsia="zh-CN"/>
        </w:rPr>
        <w:t>预算</w:t>
      </w:r>
      <w:r>
        <w:rPr>
          <w:rFonts w:hint="eastAsia" w:ascii="Times New Roman" w:hAnsi="Times New Roman" w:eastAsia="仿宋_GB2312" w:cs="仿宋_GB2312"/>
          <w:color w:val="auto"/>
          <w:sz w:val="32"/>
          <w:szCs w:val="32"/>
          <w:highlight w:val="none"/>
        </w:rPr>
        <w:t>单位</w:t>
      </w:r>
      <w:r>
        <w:rPr>
          <w:rFonts w:hint="eastAsia"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个，其中行政单位</w:t>
      </w:r>
      <w:r>
        <w:rPr>
          <w:rFonts w:hint="eastAsia"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个，参照公务员法管理的事业单位</w:t>
      </w:r>
      <w:r>
        <w:rPr>
          <w:rFonts w:hint="eastAsia" w:eastAsia="仿宋_GB2312" w:cs="仿宋_GB2312"/>
          <w:bCs/>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个，其他事业单位</w:t>
      </w:r>
      <w:r>
        <w:rPr>
          <w:rFonts w:hint="eastAsia" w:eastAsia="仿宋_GB2312" w:cs="仿宋_GB2312"/>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w:t>
      </w:r>
    </w:p>
    <w:p w14:paraId="79D5FC12">
      <w:pPr>
        <w:pStyle w:val="2"/>
        <w:adjustRightInd w:val="0"/>
        <w:snapToGrid w:val="0"/>
        <w:spacing w:before="93" w:line="600" w:lineRule="exact"/>
        <w:ind w:firstLine="672" w:firstLineChars="21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纳入九三学社四川省委员会</w:t>
      </w:r>
      <w:r>
        <w:rPr>
          <w:rFonts w:hint="eastAsia" w:ascii="Times New Roman" w:cs="仿宋_GB2312"/>
          <w:color w:val="auto"/>
          <w:sz w:val="32"/>
          <w:szCs w:val="32"/>
          <w:highlight w:val="none"/>
          <w:lang w:eastAsia="zh-CN"/>
        </w:rPr>
        <w:t>2025年度</w:t>
      </w:r>
      <w:r>
        <w:rPr>
          <w:rFonts w:hint="eastAsia" w:ascii="Times New Roman" w:hAnsi="Times New Roman" w:eastAsia="仿宋_GB2312" w:cs="仿宋_GB2312"/>
          <w:color w:val="auto"/>
          <w:sz w:val="32"/>
          <w:szCs w:val="32"/>
          <w:highlight w:val="none"/>
        </w:rPr>
        <w:t>部门决算编制范围的二级预算单位包括：九三学社四川省委员会</w:t>
      </w:r>
      <w:r>
        <w:rPr>
          <w:rFonts w:hint="eastAsia" w:ascii="Times New Roman" w:cs="仿宋_GB2312"/>
          <w:color w:val="auto"/>
          <w:sz w:val="32"/>
          <w:szCs w:val="32"/>
          <w:highlight w:val="none"/>
          <w:lang w:eastAsia="zh-CN"/>
        </w:rPr>
        <w:t>。</w:t>
      </w:r>
    </w:p>
    <w:p w14:paraId="567632C4">
      <w:pPr>
        <w:pStyle w:val="3"/>
        <w:jc w:val="center"/>
        <w:rPr>
          <w:rFonts w:hint="eastAsia" w:ascii="Times New Roman" w:hAnsi="Times New Roman" w:eastAsia="方正小标宋简体" w:cs="方正小标宋简体"/>
          <w:b w:val="0"/>
          <w:color w:val="auto"/>
          <w:highlight w:val="none"/>
        </w:rPr>
      </w:pPr>
      <w:r>
        <w:rPr>
          <w:rFonts w:ascii="Times New Roman" w:hAnsi="Times New Roman" w:eastAsia="仿宋"/>
          <w:color w:val="auto"/>
          <w:sz w:val="32"/>
          <w:szCs w:val="32"/>
          <w:highlight w:val="none"/>
        </w:rPr>
        <w:br w:type="page"/>
      </w:r>
      <w:bookmarkStart w:id="21" w:name="_Toc791"/>
      <w:bookmarkStart w:id="22" w:name="_Toc15396602"/>
      <w:bookmarkStart w:id="23" w:name="_Toc15377204"/>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2025年度</w:t>
      </w:r>
      <w:r>
        <w:rPr>
          <w:rFonts w:hint="eastAsia" w:ascii="Times New Roman" w:hAnsi="Times New Roman" w:eastAsia="方正小标宋简体" w:cs="方正小标宋简体"/>
          <w:b w:val="0"/>
          <w:color w:val="auto"/>
          <w:highlight w:val="none"/>
        </w:rPr>
        <w:t>部门决算情况说明</w:t>
      </w:r>
      <w:bookmarkEnd w:id="21"/>
      <w:bookmarkEnd w:id="22"/>
      <w:bookmarkEnd w:id="23"/>
    </w:p>
    <w:p w14:paraId="365B10D6">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29"/>
          <w:rFonts w:hint="eastAsia" w:ascii="Times New Roman" w:hAnsi="Times New Roman" w:eastAsia="黑体"/>
          <w:b w:val="0"/>
          <w:color w:val="auto"/>
          <w:highlight w:val="none"/>
        </w:rPr>
      </w:pPr>
      <w:bookmarkStart w:id="24" w:name="_Toc7042"/>
      <w:bookmarkStart w:id="25" w:name="_Toc15377205"/>
      <w:bookmarkStart w:id="26" w:name="_Toc15396603"/>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29"/>
          <w:rFonts w:hint="eastAsia" w:ascii="Times New Roman" w:hAnsi="Times New Roman" w:eastAsia="黑体"/>
          <w:b w:val="0"/>
          <w:color w:val="auto"/>
          <w:highlight w:val="none"/>
        </w:rPr>
        <w:t>入支出决算总体情况说明</w:t>
      </w:r>
      <w:bookmarkEnd w:id="24"/>
      <w:bookmarkEnd w:id="25"/>
      <w:bookmarkEnd w:id="26"/>
    </w:p>
    <w:p w14:paraId="335691FB">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Times New Roman" w:hAnsi="Times New Roman" w:eastAsia="仿宋_GB2312" w:cs="仿宋_GB2312"/>
          <w:color w:val="auto"/>
          <w:sz w:val="32"/>
          <w:szCs w:val="32"/>
          <w:highlight w:val="none"/>
        </w:rPr>
      </w:pPr>
      <w:r>
        <w:rPr>
          <w:rFonts w:hint="eastAsia" w:eastAsia="仿宋_GB2312" w:cs="仿宋_GB2312"/>
          <w:color w:val="auto"/>
          <w:sz w:val="32"/>
          <w:szCs w:val="32"/>
          <w:highlight w:val="none"/>
          <w:lang w:eastAsia="zh-CN"/>
        </w:rPr>
        <w:t>2025年度</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eastAsia="仿宋_GB2312" w:cs="仿宋_GB2312"/>
          <w:color w:val="auto"/>
          <w:sz w:val="32"/>
          <w:szCs w:val="32"/>
          <w:highlight w:val="none"/>
          <w:lang w:val="en-US" w:eastAsia="zh-CN"/>
        </w:rPr>
        <w:t>1,397.38</w:t>
      </w:r>
      <w:r>
        <w:rPr>
          <w:rFonts w:hint="eastAsia" w:ascii="Times New Roman" w:hAnsi="Times New Roman" w:eastAsia="仿宋_GB2312" w:cs="仿宋_GB2312"/>
          <w:color w:val="auto"/>
          <w:sz w:val="32"/>
          <w:szCs w:val="32"/>
          <w:highlight w:val="none"/>
        </w:rPr>
        <w:t>万元。与</w:t>
      </w:r>
      <w:r>
        <w:rPr>
          <w:rFonts w:hint="eastAsia" w:eastAsia="仿宋_GB2312" w:cs="仿宋_GB2312"/>
          <w:color w:val="auto"/>
          <w:sz w:val="32"/>
          <w:szCs w:val="32"/>
          <w:highlight w:val="none"/>
          <w:lang w:eastAsia="zh-CN"/>
        </w:rPr>
        <w:t>上</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总计各减少</w:t>
      </w:r>
      <w:r>
        <w:rPr>
          <w:rFonts w:hint="eastAsia" w:eastAsia="仿宋_GB2312" w:cs="仿宋_GB2312"/>
          <w:color w:val="auto"/>
          <w:sz w:val="32"/>
          <w:szCs w:val="32"/>
          <w:highlight w:val="none"/>
          <w:lang w:val="en-US" w:eastAsia="zh-CN"/>
        </w:rPr>
        <w:t>78.92</w:t>
      </w:r>
      <w:r>
        <w:rPr>
          <w:rFonts w:hint="eastAsia" w:ascii="Times New Roman" w:hAnsi="Times New Roman" w:eastAsia="仿宋_GB2312" w:cs="仿宋_GB2312"/>
          <w:color w:val="auto"/>
          <w:sz w:val="32"/>
          <w:szCs w:val="32"/>
          <w:highlight w:val="none"/>
        </w:rPr>
        <w:t>万元，下降</w:t>
      </w:r>
      <w:r>
        <w:rPr>
          <w:rFonts w:hint="eastAsia" w:eastAsia="仿宋_GB2312" w:cs="仿宋_GB2312"/>
          <w:color w:val="auto"/>
          <w:sz w:val="32"/>
          <w:szCs w:val="32"/>
          <w:highlight w:val="none"/>
          <w:lang w:val="en-US" w:eastAsia="zh-CN"/>
        </w:rPr>
        <w:t>5.3</w:t>
      </w:r>
      <w:r>
        <w:rPr>
          <w:rFonts w:hint="eastAsia" w:ascii="Times New Roman" w:hAnsi="Times New Roman" w:eastAsia="仿宋_GB2312" w:cs="仿宋_GB2312"/>
          <w:color w:val="auto"/>
          <w:sz w:val="32"/>
          <w:szCs w:val="32"/>
          <w:highlight w:val="none"/>
        </w:rPr>
        <w:t>%。主要变动原因是减少</w:t>
      </w:r>
      <w:r>
        <w:rPr>
          <w:rFonts w:hint="eastAsia" w:eastAsia="仿宋_GB2312" w:cs="仿宋_GB2312"/>
          <w:color w:val="auto"/>
          <w:sz w:val="32"/>
          <w:szCs w:val="32"/>
          <w:highlight w:val="none"/>
          <w:lang w:val="en-US" w:eastAsia="zh-CN"/>
        </w:rPr>
        <w:t>2024年项目</w:t>
      </w:r>
      <w:r>
        <w:rPr>
          <w:rFonts w:hint="eastAsia" w:ascii="Times New Roman" w:hAnsi="Times New Roman" w:eastAsia="仿宋_GB2312" w:cs="仿宋_GB2312"/>
          <w:color w:val="auto"/>
          <w:sz w:val="32"/>
          <w:szCs w:val="32"/>
          <w:highlight w:val="none"/>
        </w:rPr>
        <w:t>四十周年社庆</w:t>
      </w:r>
      <w:r>
        <w:rPr>
          <w:rFonts w:hint="eastAsia"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w:t>
      </w:r>
    </w:p>
    <w:p w14:paraId="3B9139DB">
      <w:pPr>
        <w:pStyle w:val="27"/>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outlineLvl w:val="9"/>
        <w:rPr>
          <w:rFonts w:hint="eastAsia" w:ascii="Times New Roman" w:hAnsi="Times New Roman" w:eastAsia="仿宋_GB2312" w:cs="仿宋_GB2312"/>
          <w:color w:val="auto"/>
          <w:sz w:val="32"/>
          <w:szCs w:val="32"/>
          <w:highlight w:val="none"/>
        </w:rPr>
      </w:pPr>
      <w:r>
        <w:drawing>
          <wp:inline distT="0" distB="0" distL="114300" distR="114300">
            <wp:extent cx="5273675" cy="2718435"/>
            <wp:effectExtent l="4445" t="4445" r="5080" b="7620"/>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66634FB0">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27" w:name="_Toc15377206"/>
      <w:bookmarkStart w:id="28" w:name="_Toc26817"/>
      <w:bookmarkStart w:id="29" w:name="_Toc15396604"/>
      <w:r>
        <w:rPr>
          <w:rFonts w:hint="eastAsia" w:ascii="Times New Roman" w:hAnsi="Times New Roman" w:eastAsia="黑体"/>
          <w:color w:val="auto"/>
          <w:sz w:val="32"/>
          <w:szCs w:val="32"/>
          <w:highlight w:val="none"/>
          <w:lang w:eastAsia="zh-CN"/>
        </w:rPr>
        <w:t>二、收入决算情况说明</w:t>
      </w:r>
      <w:bookmarkEnd w:id="27"/>
      <w:bookmarkEnd w:id="28"/>
      <w:bookmarkEnd w:id="29"/>
    </w:p>
    <w:p w14:paraId="660C3045">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Times New Roman" w:hAnsi="Times New Roman" w:eastAsia="仿宋_GB2312" w:cs="仿宋_GB2312"/>
          <w:b/>
          <w:bCs/>
          <w:color w:val="auto"/>
          <w:sz w:val="32"/>
          <w:szCs w:val="32"/>
          <w:highlight w:val="none"/>
          <w:lang w:eastAsia="zh-CN"/>
        </w:rPr>
      </w:pPr>
      <w:r>
        <w:rPr>
          <w:rFonts w:hint="eastAsia" w:eastAsia="仿宋_GB2312" w:cs="仿宋_GB2312"/>
          <w:color w:val="auto"/>
          <w:sz w:val="32"/>
          <w:szCs w:val="32"/>
          <w:highlight w:val="none"/>
          <w:lang w:eastAsia="zh-CN"/>
        </w:rPr>
        <w:t>2025年度</w:t>
      </w:r>
      <w:r>
        <w:rPr>
          <w:rFonts w:hint="eastAsia" w:ascii="Times New Roman" w:hAnsi="Times New Roman" w:eastAsia="仿宋_GB2312" w:cs="仿宋_GB2312"/>
          <w:color w:val="auto"/>
          <w:sz w:val="32"/>
          <w:szCs w:val="32"/>
          <w:highlight w:val="none"/>
          <w:lang w:eastAsia="zh-CN"/>
        </w:rPr>
        <w:t>本年收入合计</w:t>
      </w:r>
      <w:r>
        <w:rPr>
          <w:rFonts w:hint="eastAsia" w:eastAsia="仿宋_GB2312" w:cs="仿宋_GB2312"/>
          <w:color w:val="auto"/>
          <w:sz w:val="32"/>
          <w:szCs w:val="32"/>
          <w:highlight w:val="none"/>
          <w:lang w:val="en-US" w:eastAsia="zh-CN"/>
        </w:rPr>
        <w:t>1,397.38</w:t>
      </w:r>
      <w:r>
        <w:rPr>
          <w:rFonts w:hint="eastAsia" w:ascii="Times New Roman" w:hAnsi="Times New Roman" w:eastAsia="仿宋_GB2312" w:cs="仿宋_GB2312"/>
          <w:color w:val="auto"/>
          <w:sz w:val="32"/>
          <w:szCs w:val="32"/>
          <w:highlight w:val="none"/>
          <w:lang w:eastAsia="zh-CN"/>
        </w:rPr>
        <w:t>万元，其中：一般公共预算财政拨款收入</w:t>
      </w:r>
      <w:r>
        <w:rPr>
          <w:rFonts w:hint="eastAsia" w:eastAsia="仿宋_GB2312" w:cs="仿宋_GB2312"/>
          <w:color w:val="auto"/>
          <w:sz w:val="32"/>
          <w:szCs w:val="32"/>
          <w:highlight w:val="none"/>
          <w:lang w:val="en-US" w:eastAsia="zh-CN"/>
        </w:rPr>
        <w:t>1,397.38</w:t>
      </w:r>
      <w:r>
        <w:rPr>
          <w:rFonts w:hint="eastAsia" w:ascii="Times New Roman" w:hAnsi="Times New Roman" w:eastAsia="仿宋_GB2312" w:cs="仿宋_GB2312"/>
          <w:color w:val="auto"/>
          <w:sz w:val="32"/>
          <w:szCs w:val="32"/>
          <w:highlight w:val="none"/>
          <w:lang w:eastAsia="zh-CN"/>
        </w:rPr>
        <w:t>万元，占</w:t>
      </w:r>
      <w:r>
        <w:rPr>
          <w:rFonts w:hint="eastAsia" w:eastAsia="仿宋_GB2312" w:cs="仿宋_GB2312"/>
          <w:color w:val="auto"/>
          <w:sz w:val="32"/>
          <w:szCs w:val="32"/>
          <w:highlight w:val="none"/>
          <w:lang w:val="en-US" w:eastAsia="zh-CN"/>
        </w:rPr>
        <w:t>100</w:t>
      </w:r>
      <w:r>
        <w:rPr>
          <w:rFonts w:hint="eastAsia" w:ascii="Times New Roman" w:hAnsi="Times New Roman" w:eastAsia="仿宋_GB2312" w:cs="仿宋_GB2312"/>
          <w:color w:val="auto"/>
          <w:sz w:val="32"/>
          <w:szCs w:val="32"/>
          <w:highlight w:val="none"/>
          <w:lang w:eastAsia="zh-CN"/>
        </w:rPr>
        <w:t>%。</w:t>
      </w:r>
    </w:p>
    <w:p w14:paraId="44054456">
      <w:pPr>
        <w:ind w:firstLine="525" w:firstLineChars="250"/>
        <w:outlineLvl w:val="9"/>
        <w:rPr>
          <w:rFonts w:hint="eastAsia" w:ascii="Times New Roman" w:hAnsi="Times New Roman" w:eastAsia="仿宋_GB2312" w:cs="仿宋_GB2312"/>
          <w:color w:val="auto"/>
          <w:sz w:val="32"/>
          <w:szCs w:val="32"/>
          <w:highlight w:val="none"/>
          <w:lang w:eastAsia="zh-CN"/>
        </w:rPr>
      </w:pPr>
      <w:r>
        <w:drawing>
          <wp:inline distT="0" distB="0" distL="114300" distR="114300">
            <wp:extent cx="4826000" cy="2743200"/>
            <wp:effectExtent l="4445" t="4445" r="8255" b="8255"/>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B1CAE82">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29"/>
          <w:rFonts w:hint="eastAsia" w:ascii="Times New Roman" w:hAnsi="Times New Roman" w:eastAsia="黑体"/>
          <w:b w:val="0"/>
          <w:color w:val="auto"/>
          <w:highlight w:val="none"/>
        </w:rPr>
      </w:pPr>
      <w:bookmarkStart w:id="30" w:name="_Toc15396605"/>
      <w:bookmarkStart w:id="31" w:name="_Toc15377207"/>
      <w:bookmarkStart w:id="32" w:name="_Toc15734"/>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29"/>
          <w:rFonts w:hint="eastAsia" w:ascii="Times New Roman" w:hAnsi="Times New Roman" w:eastAsia="黑体"/>
          <w:b w:val="0"/>
          <w:color w:val="auto"/>
          <w:highlight w:val="none"/>
        </w:rPr>
        <w:t>出决算情况说明</w:t>
      </w:r>
      <w:bookmarkEnd w:id="30"/>
      <w:bookmarkEnd w:id="31"/>
      <w:bookmarkEnd w:id="32"/>
    </w:p>
    <w:p w14:paraId="564F77B5">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Times New Roman" w:hAnsi="Times New Roman" w:eastAsia="仿宋_GB2312" w:cs="仿宋_GB2312"/>
          <w:b/>
          <w:bCs/>
          <w:color w:val="auto"/>
          <w:sz w:val="32"/>
          <w:szCs w:val="32"/>
          <w:highlight w:val="none"/>
          <w:lang w:eastAsia="zh-CN"/>
        </w:rPr>
      </w:pPr>
      <w:r>
        <w:rPr>
          <w:rFonts w:hint="eastAsia" w:eastAsia="仿宋_GB2312" w:cs="仿宋_GB2312"/>
          <w:color w:val="auto"/>
          <w:sz w:val="32"/>
          <w:szCs w:val="32"/>
          <w:highlight w:val="none"/>
          <w:lang w:eastAsia="zh-CN"/>
        </w:rPr>
        <w:t>2025年度</w:t>
      </w:r>
      <w:r>
        <w:rPr>
          <w:rFonts w:hint="eastAsia" w:ascii="Times New Roman" w:hAnsi="Times New Roman" w:eastAsia="仿宋_GB2312" w:cs="仿宋_GB2312"/>
          <w:color w:val="auto"/>
          <w:sz w:val="32"/>
          <w:szCs w:val="32"/>
          <w:highlight w:val="none"/>
          <w:lang w:eastAsia="zh-CN"/>
        </w:rPr>
        <w:t>本年支出合计</w:t>
      </w:r>
      <w:r>
        <w:rPr>
          <w:rFonts w:hint="eastAsia" w:eastAsia="仿宋_GB2312" w:cs="仿宋_GB2312"/>
          <w:color w:val="auto"/>
          <w:sz w:val="32"/>
          <w:szCs w:val="32"/>
          <w:highlight w:val="none"/>
          <w:lang w:val="en-US" w:eastAsia="zh-CN"/>
        </w:rPr>
        <w:t>1,397.38</w:t>
      </w:r>
      <w:r>
        <w:rPr>
          <w:rFonts w:hint="eastAsia" w:ascii="Times New Roman" w:hAnsi="Times New Roman" w:eastAsia="仿宋_GB2312" w:cs="仿宋_GB2312"/>
          <w:color w:val="auto"/>
          <w:sz w:val="32"/>
          <w:szCs w:val="32"/>
          <w:highlight w:val="none"/>
          <w:lang w:eastAsia="zh-CN"/>
        </w:rPr>
        <w:t>万元，其中：基本支出</w:t>
      </w:r>
      <w:r>
        <w:rPr>
          <w:rFonts w:hint="eastAsia" w:eastAsia="仿宋_GB2312" w:cs="仿宋_GB2312"/>
          <w:color w:val="auto"/>
          <w:sz w:val="32"/>
          <w:szCs w:val="32"/>
          <w:highlight w:val="none"/>
          <w:lang w:val="en-US" w:eastAsia="zh-CN"/>
        </w:rPr>
        <w:t>1176.74</w:t>
      </w:r>
      <w:r>
        <w:rPr>
          <w:rFonts w:hint="eastAsia" w:ascii="Times New Roman" w:hAnsi="Times New Roman" w:eastAsia="仿宋_GB2312" w:cs="仿宋_GB2312"/>
          <w:color w:val="auto"/>
          <w:sz w:val="32"/>
          <w:szCs w:val="32"/>
          <w:highlight w:val="none"/>
          <w:lang w:eastAsia="zh-CN"/>
        </w:rPr>
        <w:t>万元，占</w:t>
      </w:r>
      <w:r>
        <w:rPr>
          <w:rFonts w:hint="eastAsia" w:eastAsia="仿宋_GB2312" w:cs="仿宋_GB2312"/>
          <w:color w:val="auto"/>
          <w:sz w:val="32"/>
          <w:szCs w:val="32"/>
          <w:highlight w:val="none"/>
          <w:lang w:val="en-US" w:eastAsia="zh-CN"/>
        </w:rPr>
        <w:t>84.2</w:t>
      </w:r>
      <w:r>
        <w:rPr>
          <w:rFonts w:hint="eastAsia" w:ascii="Times New Roman" w:hAnsi="Times New Roman" w:eastAsia="仿宋_GB2312" w:cs="仿宋_GB2312"/>
          <w:color w:val="auto"/>
          <w:sz w:val="32"/>
          <w:szCs w:val="32"/>
          <w:highlight w:val="none"/>
          <w:lang w:eastAsia="zh-CN"/>
        </w:rPr>
        <w:t>%；项目支出</w:t>
      </w:r>
      <w:r>
        <w:rPr>
          <w:rFonts w:hint="eastAsia" w:eastAsia="仿宋_GB2312" w:cs="仿宋_GB2312"/>
          <w:color w:val="auto"/>
          <w:sz w:val="32"/>
          <w:szCs w:val="32"/>
          <w:highlight w:val="none"/>
          <w:lang w:val="en-US" w:eastAsia="zh-CN"/>
        </w:rPr>
        <w:t>220.64</w:t>
      </w:r>
      <w:r>
        <w:rPr>
          <w:rFonts w:hint="eastAsia" w:ascii="Times New Roman" w:hAnsi="Times New Roman" w:eastAsia="仿宋_GB2312" w:cs="仿宋_GB2312"/>
          <w:color w:val="auto"/>
          <w:sz w:val="32"/>
          <w:szCs w:val="32"/>
          <w:highlight w:val="none"/>
          <w:lang w:eastAsia="zh-CN"/>
        </w:rPr>
        <w:t>万元，占</w:t>
      </w:r>
      <w:r>
        <w:rPr>
          <w:rFonts w:hint="eastAsia" w:eastAsia="仿宋_GB2312" w:cs="仿宋_GB2312"/>
          <w:color w:val="auto"/>
          <w:sz w:val="32"/>
          <w:szCs w:val="32"/>
          <w:highlight w:val="none"/>
          <w:lang w:val="en-US" w:eastAsia="zh-CN"/>
        </w:rPr>
        <w:t>15.8</w:t>
      </w:r>
      <w:r>
        <w:rPr>
          <w:rFonts w:hint="eastAsia" w:ascii="Times New Roman" w:hAnsi="Times New Roman" w:eastAsia="仿宋_GB2312" w:cs="仿宋_GB2312"/>
          <w:color w:val="auto"/>
          <w:sz w:val="32"/>
          <w:szCs w:val="32"/>
          <w:highlight w:val="none"/>
          <w:lang w:eastAsia="zh-CN"/>
        </w:rPr>
        <w:t>%。</w:t>
      </w:r>
    </w:p>
    <w:p w14:paraId="0D4379CD">
      <w:pPr>
        <w:pStyle w:val="27"/>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outlineLvl w:val="9"/>
        <w:rPr>
          <w:rFonts w:hint="eastAsia" w:ascii="Times New Roman" w:hAnsi="Times New Roman" w:eastAsia="仿宋_GB2312" w:cs="仿宋_GB2312"/>
          <w:color w:val="auto"/>
          <w:sz w:val="32"/>
          <w:szCs w:val="32"/>
          <w:highlight w:val="none"/>
          <w:lang w:eastAsia="zh-CN"/>
        </w:rPr>
      </w:pPr>
      <w:r>
        <w:drawing>
          <wp:inline distT="0" distB="0" distL="114300" distR="114300">
            <wp:extent cx="4826000" cy="2743200"/>
            <wp:effectExtent l="4445" t="4445" r="8255" b="8255"/>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BD67F55">
      <w:pPr>
        <w:spacing w:line="600" w:lineRule="exact"/>
        <w:ind w:firstLine="640" w:firstLineChars="200"/>
        <w:outlineLvl w:val="1"/>
        <w:rPr>
          <w:rStyle w:val="29"/>
          <w:rFonts w:ascii="Times New Roman" w:hAnsi="Times New Roman" w:eastAsia="黑体"/>
          <w:b w:val="0"/>
          <w:color w:val="auto"/>
          <w:highlight w:val="none"/>
        </w:rPr>
      </w:pPr>
      <w:bookmarkStart w:id="33" w:name="_Toc15396606"/>
      <w:bookmarkStart w:id="34" w:name="_Toc15377208"/>
      <w:bookmarkStart w:id="35" w:name="_Toc18991"/>
      <w:r>
        <w:rPr>
          <w:rFonts w:hint="eastAsia" w:ascii="Times New Roman" w:hAnsi="Times New Roman" w:eastAsia="黑体"/>
          <w:color w:val="auto"/>
          <w:sz w:val="32"/>
          <w:szCs w:val="32"/>
          <w:highlight w:val="none"/>
        </w:rPr>
        <w:t>四、财</w:t>
      </w:r>
      <w:r>
        <w:rPr>
          <w:rStyle w:val="29"/>
          <w:rFonts w:hint="eastAsia" w:ascii="Times New Roman" w:hAnsi="Times New Roman" w:eastAsia="黑体"/>
          <w:b w:val="0"/>
          <w:color w:val="auto"/>
          <w:highlight w:val="none"/>
        </w:rPr>
        <w:t>政拨款收入支出决算总体情况说明</w:t>
      </w:r>
      <w:bookmarkEnd w:id="33"/>
      <w:bookmarkEnd w:id="34"/>
      <w:bookmarkEnd w:id="35"/>
    </w:p>
    <w:p w14:paraId="2C77AA1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财政拨款收入、支出总计均为</w:t>
      </w:r>
      <w:r>
        <w:rPr>
          <w:rFonts w:hint="eastAsia" w:eastAsia="仿宋_GB2312" w:cs="仿宋_GB2312"/>
          <w:color w:val="auto"/>
          <w:sz w:val="32"/>
          <w:szCs w:val="32"/>
          <w:highlight w:val="none"/>
          <w:lang w:val="en-US" w:eastAsia="zh-CN"/>
        </w:rPr>
        <w:t>1,397.38</w:t>
      </w:r>
      <w:r>
        <w:rPr>
          <w:rFonts w:hint="eastAsia" w:ascii="Times New Roman" w:hAnsi="Times New Roman" w:eastAsia="仿宋_GB2312" w:cs="仿宋_GB2312"/>
          <w:color w:val="auto"/>
          <w:kern w:val="2"/>
          <w:sz w:val="32"/>
          <w:szCs w:val="32"/>
          <w:highlight w:val="none"/>
          <w:lang w:val="en-US" w:eastAsia="zh-CN" w:bidi="ar-SA"/>
        </w:rPr>
        <w:t>万元。与</w:t>
      </w:r>
      <w:r>
        <w:rPr>
          <w:rFonts w:hint="eastAsia" w:eastAsia="仿宋_GB2312" w:cs="仿宋_GB2312"/>
          <w:color w:val="auto"/>
          <w:kern w:val="2"/>
          <w:sz w:val="32"/>
          <w:szCs w:val="32"/>
          <w:highlight w:val="none"/>
          <w:lang w:val="en-US" w:eastAsia="zh-CN" w:bidi="ar-SA"/>
        </w:rPr>
        <w:t>上</w:t>
      </w:r>
      <w:r>
        <w:rPr>
          <w:rFonts w:hint="eastAsia" w:ascii="Times New Roman" w:hAnsi="Times New Roman" w:eastAsia="仿宋_GB2312" w:cs="仿宋_GB2312"/>
          <w:color w:val="auto"/>
          <w:kern w:val="2"/>
          <w:sz w:val="32"/>
          <w:szCs w:val="32"/>
          <w:highlight w:val="none"/>
          <w:lang w:val="en-US" w:eastAsia="zh-CN" w:bidi="ar-SA"/>
        </w:rPr>
        <w:t>年度相比，财政拨款收入、支出总计各减少</w:t>
      </w:r>
      <w:r>
        <w:rPr>
          <w:rFonts w:hint="eastAsia" w:eastAsia="仿宋_GB2312" w:cs="仿宋_GB2312"/>
          <w:color w:val="auto"/>
          <w:sz w:val="32"/>
          <w:szCs w:val="32"/>
          <w:highlight w:val="none"/>
          <w:lang w:val="en-US" w:eastAsia="zh-CN"/>
        </w:rPr>
        <w:t>78.92</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5.3</w:t>
      </w:r>
      <w:r>
        <w:rPr>
          <w:rFonts w:hint="eastAsia" w:ascii="Times New Roman" w:hAnsi="Times New Roman" w:eastAsia="仿宋_GB2312" w:cs="仿宋_GB2312"/>
          <w:color w:val="auto"/>
          <w:kern w:val="2"/>
          <w:sz w:val="32"/>
          <w:szCs w:val="32"/>
          <w:highlight w:val="none"/>
          <w:lang w:val="en-US" w:eastAsia="zh-CN" w:bidi="ar-SA"/>
        </w:rPr>
        <w:t>%。主要变动原因是减少2024年项目四十周年社庆支出。</w:t>
      </w:r>
    </w:p>
    <w:p w14:paraId="3A167C56">
      <w:pPr>
        <w:spacing w:line="240" w:lineRule="auto"/>
        <w:ind w:firstLine="420" w:firstLineChars="200"/>
        <w:rPr>
          <w:rFonts w:hint="eastAsia" w:ascii="Times New Roman" w:hAnsi="Times New Roman" w:eastAsia="仿宋_GB2312" w:cs="仿宋_GB2312"/>
          <w:color w:val="auto"/>
          <w:kern w:val="2"/>
          <w:sz w:val="32"/>
          <w:szCs w:val="32"/>
          <w:highlight w:val="none"/>
          <w:lang w:val="en-US" w:eastAsia="zh-CN" w:bidi="ar-SA"/>
        </w:rPr>
      </w:pPr>
      <w:r>
        <w:drawing>
          <wp:inline distT="0" distB="0" distL="114300" distR="114300">
            <wp:extent cx="5273675" cy="2718435"/>
            <wp:effectExtent l="4445" t="4445" r="5080" b="7620"/>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D24B46A">
      <w:pPr>
        <w:spacing w:line="600" w:lineRule="exact"/>
        <w:ind w:firstLine="640" w:firstLineChars="200"/>
        <w:outlineLvl w:val="1"/>
        <w:rPr>
          <w:rStyle w:val="29"/>
          <w:rFonts w:ascii="Times New Roman" w:hAnsi="Times New Roman" w:eastAsia="黑体"/>
          <w:b w:val="0"/>
          <w:color w:val="auto"/>
          <w:highlight w:val="none"/>
        </w:rPr>
      </w:pPr>
      <w:bookmarkStart w:id="36" w:name="_Toc15396607"/>
      <w:bookmarkStart w:id="37" w:name="_Toc15377209"/>
      <w:bookmarkStart w:id="38" w:name="_Toc744"/>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29"/>
          <w:rFonts w:hint="eastAsia" w:ascii="Times New Roman" w:hAnsi="Times New Roman" w:eastAsia="黑体"/>
          <w:b w:val="0"/>
          <w:color w:val="auto"/>
          <w:highlight w:val="none"/>
        </w:rPr>
        <w:t>般公共预算财政拨款支出决算情况说明</w:t>
      </w:r>
      <w:bookmarkEnd w:id="36"/>
      <w:bookmarkEnd w:id="37"/>
      <w:bookmarkEnd w:id="38"/>
    </w:p>
    <w:p w14:paraId="0E51D9C1">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9"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39"/>
    </w:p>
    <w:p w14:paraId="2999A639">
      <w:pPr>
        <w:spacing w:line="600" w:lineRule="exact"/>
        <w:ind w:firstLine="640"/>
        <w:rPr>
          <w:rFonts w:hint="eastAsia" w:ascii="Times New Roman" w:hAnsi="Times New Roman" w:eastAsia="仿宋_GB2312" w:cs="仿宋_GB2312"/>
          <w:color w:val="auto"/>
          <w:kern w:val="2"/>
          <w:sz w:val="32"/>
          <w:szCs w:val="32"/>
          <w:highlight w:val="yellow"/>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一般公共预算财政拨款支出</w:t>
      </w:r>
      <w:r>
        <w:rPr>
          <w:rFonts w:hint="eastAsia" w:eastAsia="仿宋_GB2312" w:cs="仿宋_GB2312"/>
          <w:color w:val="auto"/>
          <w:sz w:val="32"/>
          <w:szCs w:val="32"/>
          <w:highlight w:val="none"/>
          <w:lang w:val="en-US" w:eastAsia="zh-CN"/>
        </w:rPr>
        <w:t>1,397.38</w:t>
      </w:r>
      <w:r>
        <w:rPr>
          <w:rFonts w:hint="eastAsia" w:ascii="Times New Roman" w:hAnsi="Times New Roman" w:eastAsia="仿宋_GB2312" w:cs="仿宋_GB2312"/>
          <w:color w:val="auto"/>
          <w:kern w:val="2"/>
          <w:sz w:val="32"/>
          <w:szCs w:val="32"/>
          <w:highlight w:val="none"/>
          <w:lang w:val="en-US" w:eastAsia="zh-CN" w:bidi="ar-SA"/>
        </w:rPr>
        <w:t>万元，占本年支出合计的</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%。与</w:t>
      </w:r>
      <w:r>
        <w:rPr>
          <w:rFonts w:hint="eastAsia" w:eastAsia="仿宋_GB2312" w:cs="仿宋_GB2312"/>
          <w:color w:val="auto"/>
          <w:kern w:val="2"/>
          <w:sz w:val="32"/>
          <w:szCs w:val="32"/>
          <w:highlight w:val="none"/>
          <w:lang w:val="en-US" w:eastAsia="zh-CN" w:bidi="ar-SA"/>
        </w:rPr>
        <w:t>上</w:t>
      </w:r>
      <w:r>
        <w:rPr>
          <w:rFonts w:hint="eastAsia" w:ascii="Times New Roman" w:hAnsi="Times New Roman" w:eastAsia="仿宋_GB2312" w:cs="仿宋_GB2312"/>
          <w:color w:val="auto"/>
          <w:kern w:val="2"/>
          <w:sz w:val="32"/>
          <w:szCs w:val="32"/>
          <w:highlight w:val="none"/>
          <w:lang w:val="en-US" w:eastAsia="zh-CN" w:bidi="ar-SA"/>
        </w:rPr>
        <w:t>年度相比，一般公共预算财政拨款支出增减少</w:t>
      </w:r>
      <w:r>
        <w:rPr>
          <w:rFonts w:hint="eastAsia" w:eastAsia="仿宋_GB2312" w:cs="仿宋_GB2312"/>
          <w:color w:val="auto"/>
          <w:sz w:val="32"/>
          <w:szCs w:val="32"/>
          <w:highlight w:val="none"/>
          <w:lang w:val="en-US" w:eastAsia="zh-CN"/>
        </w:rPr>
        <w:t>78.92</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5.3</w:t>
      </w:r>
      <w:r>
        <w:rPr>
          <w:rFonts w:hint="eastAsia" w:ascii="Times New Roman" w:hAnsi="Times New Roman" w:eastAsia="仿宋_GB2312" w:cs="仿宋_GB2312"/>
          <w:color w:val="auto"/>
          <w:kern w:val="2"/>
          <w:sz w:val="32"/>
          <w:szCs w:val="32"/>
          <w:highlight w:val="none"/>
          <w:lang w:val="en-US" w:eastAsia="zh-CN" w:bidi="ar-SA"/>
        </w:rPr>
        <w:t>%。主要变动原因是减少2024年项目四十周年社庆支出。</w:t>
      </w:r>
    </w:p>
    <w:p w14:paraId="268BCA82">
      <w:pPr>
        <w:spacing w:line="240" w:lineRule="auto"/>
        <w:ind w:firstLine="640"/>
        <w:rPr>
          <w:rFonts w:hint="eastAsia" w:ascii="Times New Roman" w:hAnsi="Times New Roman" w:eastAsia="仿宋_GB2312" w:cs="仿宋_GB2312"/>
          <w:color w:val="auto"/>
          <w:kern w:val="2"/>
          <w:sz w:val="32"/>
          <w:szCs w:val="32"/>
          <w:highlight w:val="none"/>
          <w:lang w:val="en-US" w:eastAsia="zh-CN" w:bidi="ar-SA"/>
        </w:rPr>
      </w:pPr>
      <w:r>
        <w:drawing>
          <wp:inline distT="0" distB="0" distL="114300" distR="114300">
            <wp:extent cx="4826000" cy="2889250"/>
            <wp:effectExtent l="4445" t="4445" r="8255" b="14605"/>
            <wp:docPr id="7"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086B354">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0"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40"/>
    </w:p>
    <w:p w14:paraId="060C6958">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一般公共预算财政拨款支出</w:t>
      </w:r>
      <w:r>
        <w:rPr>
          <w:rFonts w:hint="eastAsia" w:eastAsia="仿宋_GB2312" w:cs="仿宋_GB2312"/>
          <w:color w:val="auto"/>
          <w:sz w:val="32"/>
          <w:szCs w:val="32"/>
          <w:highlight w:val="none"/>
          <w:lang w:val="en-US" w:eastAsia="zh-CN"/>
        </w:rPr>
        <w:t>1,397.38</w:t>
      </w:r>
      <w:r>
        <w:rPr>
          <w:rFonts w:hint="eastAsia" w:ascii="Times New Roman" w:hAnsi="Times New Roman" w:eastAsia="仿宋_GB2312" w:cs="仿宋_GB2312"/>
          <w:color w:val="auto"/>
          <w:kern w:val="2"/>
          <w:sz w:val="32"/>
          <w:szCs w:val="32"/>
          <w:highlight w:val="none"/>
          <w:lang w:val="en-US" w:eastAsia="zh-CN" w:bidi="ar-SA"/>
        </w:rPr>
        <w:t>万元，主要用于以下方面</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一般公共服务支出</w:t>
      </w:r>
      <w:r>
        <w:rPr>
          <w:rFonts w:hint="eastAsia" w:eastAsia="仿宋_GB2312" w:cs="仿宋_GB2312"/>
          <w:color w:val="auto"/>
          <w:kern w:val="2"/>
          <w:sz w:val="32"/>
          <w:szCs w:val="32"/>
          <w:highlight w:val="none"/>
          <w:lang w:val="en-US" w:eastAsia="zh-CN" w:bidi="ar-SA"/>
        </w:rPr>
        <w:t>1,137.34</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81.4</w:t>
      </w:r>
      <w:r>
        <w:rPr>
          <w:rFonts w:hint="eastAsia" w:ascii="Times New Roman" w:hAnsi="Times New Roman" w:eastAsia="仿宋_GB2312" w:cs="仿宋_GB2312"/>
          <w:color w:val="auto"/>
          <w:kern w:val="2"/>
          <w:sz w:val="32"/>
          <w:szCs w:val="32"/>
          <w:highlight w:val="none"/>
          <w:lang w:val="en-US" w:eastAsia="zh-CN" w:bidi="ar-SA"/>
        </w:rPr>
        <w:t>%；社会保障和就业支出</w:t>
      </w:r>
      <w:r>
        <w:rPr>
          <w:rFonts w:hint="eastAsia" w:eastAsia="仿宋_GB2312" w:cs="仿宋_GB2312"/>
          <w:color w:val="auto"/>
          <w:kern w:val="2"/>
          <w:sz w:val="32"/>
          <w:szCs w:val="32"/>
          <w:highlight w:val="none"/>
          <w:lang w:val="en-US" w:eastAsia="zh-CN" w:bidi="ar-SA"/>
        </w:rPr>
        <w:t>135.65</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9.7</w:t>
      </w:r>
      <w:r>
        <w:rPr>
          <w:rFonts w:hint="eastAsia" w:ascii="Times New Roman" w:hAnsi="Times New Roman" w:eastAsia="仿宋_GB2312" w:cs="仿宋_GB2312"/>
          <w:color w:val="auto"/>
          <w:kern w:val="2"/>
          <w:sz w:val="32"/>
          <w:szCs w:val="32"/>
          <w:highlight w:val="none"/>
          <w:lang w:val="en-US" w:eastAsia="zh-CN" w:bidi="ar-SA"/>
        </w:rPr>
        <w:t>%；卫生健康支出</w:t>
      </w:r>
      <w:r>
        <w:rPr>
          <w:rFonts w:hint="eastAsia" w:eastAsia="仿宋_GB2312" w:cs="仿宋_GB2312"/>
          <w:color w:val="auto"/>
          <w:kern w:val="2"/>
          <w:sz w:val="32"/>
          <w:szCs w:val="32"/>
          <w:highlight w:val="none"/>
          <w:lang w:val="en-US" w:eastAsia="zh-CN" w:bidi="ar-SA"/>
        </w:rPr>
        <w:t>59.18</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4.2</w:t>
      </w:r>
      <w:r>
        <w:rPr>
          <w:rFonts w:hint="eastAsia" w:ascii="Times New Roman" w:hAnsi="Times New Roman" w:eastAsia="仿宋_GB2312" w:cs="仿宋_GB2312"/>
          <w:color w:val="auto"/>
          <w:kern w:val="2"/>
          <w:sz w:val="32"/>
          <w:szCs w:val="32"/>
          <w:highlight w:val="none"/>
          <w:lang w:val="en-US" w:eastAsia="zh-CN" w:bidi="ar-SA"/>
        </w:rPr>
        <w:t>%；住房保障支出</w:t>
      </w:r>
      <w:r>
        <w:rPr>
          <w:rFonts w:hint="eastAsia" w:eastAsia="仿宋_GB2312" w:cs="仿宋_GB2312"/>
          <w:color w:val="auto"/>
          <w:kern w:val="2"/>
          <w:sz w:val="32"/>
          <w:szCs w:val="32"/>
          <w:highlight w:val="none"/>
          <w:lang w:val="en-US" w:eastAsia="zh-CN" w:bidi="ar-SA"/>
        </w:rPr>
        <w:t>65.21</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4.7</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14:paraId="3B73C0A7">
      <w:pPr>
        <w:spacing w:line="240" w:lineRule="auto"/>
        <w:ind w:firstLine="640"/>
        <w:rPr>
          <w:rFonts w:hint="eastAsia" w:ascii="Times New Roman" w:hAnsi="Times New Roman" w:eastAsia="仿宋_GB2312" w:cs="仿宋_GB2312"/>
          <w:color w:val="auto"/>
          <w:kern w:val="2"/>
          <w:sz w:val="32"/>
          <w:szCs w:val="32"/>
          <w:highlight w:val="none"/>
          <w:lang w:val="en-US" w:eastAsia="zh-CN" w:bidi="ar-SA"/>
        </w:rPr>
      </w:pPr>
      <w:r>
        <w:drawing>
          <wp:inline distT="0" distB="0" distL="114300" distR="114300">
            <wp:extent cx="4826000" cy="3454400"/>
            <wp:effectExtent l="5080" t="4445" r="7620" b="8255"/>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2AE751A">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1"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41"/>
    </w:p>
    <w:p w14:paraId="1215076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42" w:name="_Toc15377444"/>
      <w:bookmarkStart w:id="43" w:name="_Toc15378460"/>
      <w:bookmarkStart w:id="44" w:name="_Toc15377213"/>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一般公共预算支出决算数为</w:t>
      </w:r>
      <w:r>
        <w:rPr>
          <w:rFonts w:hint="eastAsia" w:eastAsia="仿宋_GB2312" w:cs="仿宋_GB2312"/>
          <w:color w:val="auto"/>
          <w:sz w:val="32"/>
          <w:szCs w:val="32"/>
          <w:highlight w:val="none"/>
          <w:lang w:val="en-US" w:eastAsia="zh-CN"/>
        </w:rPr>
        <w:t>1,397.38万元</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93.5</w:t>
      </w:r>
      <w:r>
        <w:rPr>
          <w:rFonts w:hint="eastAsia" w:ascii="Times New Roman" w:hAnsi="Times New Roman" w:eastAsia="仿宋_GB2312" w:cs="仿宋_GB2312"/>
          <w:color w:val="auto"/>
          <w:kern w:val="2"/>
          <w:sz w:val="32"/>
          <w:szCs w:val="32"/>
          <w:highlight w:val="none"/>
          <w:lang w:val="en-US" w:eastAsia="zh-CN" w:bidi="ar-SA"/>
        </w:rPr>
        <w:t>%。其中：</w:t>
      </w:r>
      <w:bookmarkEnd w:id="42"/>
      <w:bookmarkEnd w:id="43"/>
      <w:bookmarkEnd w:id="44"/>
    </w:p>
    <w:p w14:paraId="023355A7">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一般公共服务（类）民主党派及工商联事务（款）行政运行（项）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916.7</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91.3</w:t>
      </w:r>
      <w:r>
        <w:rPr>
          <w:rFonts w:hint="eastAsia" w:ascii="Times New Roman" w:hAnsi="Times New Roman" w:eastAsia="仿宋_GB2312" w:cs="仿宋_GB2312"/>
          <w:color w:val="auto"/>
          <w:kern w:val="2"/>
          <w:sz w:val="32"/>
          <w:szCs w:val="32"/>
          <w:highlight w:val="none"/>
          <w:lang w:val="en-US" w:eastAsia="zh-CN" w:bidi="ar-SA"/>
        </w:rPr>
        <w:t>%，决算数小于预算数的主要原因是2025年2名人员退休，人员经费减少</w:t>
      </w:r>
      <w:r>
        <w:rPr>
          <w:rFonts w:hint="eastAsia" w:eastAsia="仿宋_GB2312" w:cs="仿宋_GB2312"/>
          <w:color w:val="auto"/>
          <w:kern w:val="2"/>
          <w:sz w:val="32"/>
          <w:szCs w:val="32"/>
          <w:highlight w:val="none"/>
          <w:lang w:val="en-US" w:eastAsia="zh-CN" w:bidi="ar-SA"/>
        </w:rPr>
        <w:t>。</w:t>
      </w:r>
    </w:p>
    <w:p w14:paraId="53548CE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2.一般公共服务（类）民主党派及工商联事务（款）参政议政（项）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220.64</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99.8</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14:paraId="790E388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3.社会保障和就业支出（类）行政事业单位养老支出（款）行政单位离退休（项）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57.61</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14:paraId="36A54F1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4.社会保障和就业支出（类）行政事业单位养老支出（款）机关事业单位基本养老保险缴费支出（项）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78.04</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95.4</w:t>
      </w:r>
      <w:r>
        <w:rPr>
          <w:rFonts w:hint="eastAsia" w:ascii="Times New Roman" w:hAnsi="Times New Roman" w:eastAsia="仿宋_GB2312" w:cs="仿宋_GB2312"/>
          <w:color w:val="auto"/>
          <w:kern w:val="2"/>
          <w:sz w:val="32"/>
          <w:szCs w:val="32"/>
          <w:highlight w:val="none"/>
          <w:lang w:val="en-US" w:eastAsia="zh-CN" w:bidi="ar-SA"/>
        </w:rPr>
        <w:t>%，决算数小于预算数的主要原因是2025年2名人员退休，基本养老保险缴费减少</w:t>
      </w:r>
      <w:r>
        <w:rPr>
          <w:rFonts w:hint="eastAsia" w:eastAsia="仿宋_GB2312" w:cs="仿宋_GB2312"/>
          <w:color w:val="auto"/>
          <w:kern w:val="2"/>
          <w:sz w:val="32"/>
          <w:szCs w:val="32"/>
          <w:highlight w:val="none"/>
          <w:lang w:val="en-US" w:eastAsia="zh-CN" w:bidi="ar-SA"/>
        </w:rPr>
        <w:t>。</w:t>
      </w:r>
    </w:p>
    <w:p w14:paraId="23EEE43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5.卫生健康（类）行政</w:t>
      </w:r>
      <w:r>
        <w:rPr>
          <w:rFonts w:hint="eastAsia" w:eastAsia="仿宋_GB2312" w:cs="仿宋_GB2312"/>
          <w:color w:val="auto"/>
          <w:kern w:val="2"/>
          <w:sz w:val="32"/>
          <w:szCs w:val="32"/>
          <w:highlight w:val="none"/>
          <w:lang w:val="en-US" w:eastAsia="zh-CN" w:bidi="ar-SA"/>
        </w:rPr>
        <w:t>事业</w:t>
      </w:r>
      <w:r>
        <w:rPr>
          <w:rFonts w:hint="eastAsia" w:ascii="Times New Roman" w:hAnsi="Times New Roman" w:eastAsia="仿宋_GB2312" w:cs="仿宋_GB2312"/>
          <w:color w:val="auto"/>
          <w:kern w:val="2"/>
          <w:sz w:val="32"/>
          <w:szCs w:val="32"/>
          <w:highlight w:val="none"/>
          <w:lang w:val="en-US" w:eastAsia="zh-CN" w:bidi="ar-SA"/>
        </w:rPr>
        <w:t>单位医疗（款）行政单位</w:t>
      </w:r>
      <w:r>
        <w:rPr>
          <w:rFonts w:hint="eastAsia" w:eastAsia="仿宋_GB2312" w:cs="仿宋_GB2312"/>
          <w:color w:val="auto"/>
          <w:kern w:val="2"/>
          <w:sz w:val="32"/>
          <w:szCs w:val="32"/>
          <w:highlight w:val="none"/>
          <w:lang w:val="en-US" w:eastAsia="zh-CN" w:bidi="ar-SA"/>
        </w:rPr>
        <w:t>医疗</w:t>
      </w:r>
      <w:r>
        <w:rPr>
          <w:rFonts w:hint="eastAsia" w:ascii="Times New Roman" w:hAnsi="Times New Roman" w:eastAsia="仿宋_GB2312" w:cs="仿宋_GB2312"/>
          <w:color w:val="auto"/>
          <w:kern w:val="2"/>
          <w:sz w:val="32"/>
          <w:szCs w:val="32"/>
          <w:highlight w:val="none"/>
          <w:lang w:val="en-US" w:eastAsia="zh-CN" w:bidi="ar-SA"/>
        </w:rPr>
        <w:t>（项）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51.09</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95.2</w:t>
      </w:r>
      <w:r>
        <w:rPr>
          <w:rFonts w:hint="eastAsia" w:ascii="Times New Roman" w:hAnsi="Times New Roman" w:eastAsia="仿宋_GB2312" w:cs="仿宋_GB2312"/>
          <w:color w:val="auto"/>
          <w:kern w:val="2"/>
          <w:sz w:val="32"/>
          <w:szCs w:val="32"/>
          <w:highlight w:val="none"/>
          <w:lang w:val="en-US" w:eastAsia="zh-CN" w:bidi="ar-SA"/>
        </w:rPr>
        <w:t>%，决算数小于预算数的主要原因是2025年2名人员退休，单位医疗缴费减少</w:t>
      </w:r>
      <w:r>
        <w:rPr>
          <w:rFonts w:hint="eastAsia" w:eastAsia="仿宋_GB2312" w:cs="仿宋_GB2312"/>
          <w:color w:val="auto"/>
          <w:kern w:val="2"/>
          <w:sz w:val="32"/>
          <w:szCs w:val="32"/>
          <w:highlight w:val="none"/>
          <w:lang w:val="en-US" w:eastAsia="zh-CN" w:bidi="ar-SA"/>
        </w:rPr>
        <w:t>。</w:t>
      </w:r>
    </w:p>
    <w:p w14:paraId="67E2714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6.卫生健康（类）行政</w:t>
      </w:r>
      <w:r>
        <w:rPr>
          <w:rFonts w:hint="eastAsia" w:eastAsia="仿宋_GB2312" w:cs="仿宋_GB2312"/>
          <w:color w:val="auto"/>
          <w:kern w:val="2"/>
          <w:sz w:val="32"/>
          <w:szCs w:val="32"/>
          <w:highlight w:val="none"/>
          <w:lang w:val="en-US" w:eastAsia="zh-CN" w:bidi="ar-SA"/>
        </w:rPr>
        <w:t>事业</w:t>
      </w:r>
      <w:r>
        <w:rPr>
          <w:rFonts w:hint="eastAsia" w:ascii="Times New Roman" w:hAnsi="Times New Roman" w:eastAsia="仿宋_GB2312" w:cs="仿宋_GB2312"/>
          <w:color w:val="auto"/>
          <w:kern w:val="2"/>
          <w:sz w:val="32"/>
          <w:szCs w:val="32"/>
          <w:highlight w:val="none"/>
          <w:lang w:val="en-US" w:eastAsia="zh-CN" w:bidi="ar-SA"/>
        </w:rPr>
        <w:t>单位医疗（款）公务员医疗补助（项）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8.1</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99.9</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14:paraId="45A3600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7</w:t>
      </w:r>
      <w:r>
        <w:rPr>
          <w:rFonts w:hint="eastAsia" w:ascii="Times New Roman" w:hAnsi="Times New Roman" w:eastAsia="仿宋_GB2312" w:cs="仿宋_GB2312"/>
          <w:color w:val="auto"/>
          <w:kern w:val="2"/>
          <w:sz w:val="32"/>
          <w:szCs w:val="32"/>
          <w:highlight w:val="none"/>
          <w:lang w:val="en-US" w:eastAsia="zh-CN" w:bidi="ar-SA"/>
        </w:rPr>
        <w:t>.住房保障支出（类）住房改革支出（款）</w:t>
      </w:r>
      <w:r>
        <w:rPr>
          <w:rFonts w:hint="eastAsia" w:eastAsia="仿宋_GB2312" w:cs="仿宋_GB2312"/>
          <w:color w:val="auto"/>
          <w:kern w:val="2"/>
          <w:sz w:val="32"/>
          <w:szCs w:val="32"/>
          <w:highlight w:val="none"/>
          <w:lang w:val="en-US" w:eastAsia="zh-CN" w:bidi="ar-SA"/>
        </w:rPr>
        <w:t>住房公积金</w:t>
      </w:r>
      <w:r>
        <w:rPr>
          <w:rFonts w:hint="eastAsia" w:ascii="Times New Roman" w:hAnsi="Times New Roman" w:eastAsia="仿宋_GB2312" w:cs="仿宋_GB2312"/>
          <w:color w:val="auto"/>
          <w:kern w:val="2"/>
          <w:sz w:val="32"/>
          <w:szCs w:val="32"/>
          <w:highlight w:val="none"/>
          <w:lang w:val="en-US" w:eastAsia="zh-CN" w:bidi="ar-SA"/>
        </w:rPr>
        <w:t>（项）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65.21</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95.2</w:t>
      </w:r>
      <w:r>
        <w:rPr>
          <w:rFonts w:hint="eastAsia" w:ascii="Times New Roman" w:hAnsi="Times New Roman" w:eastAsia="仿宋_GB2312" w:cs="仿宋_GB2312"/>
          <w:color w:val="auto"/>
          <w:kern w:val="2"/>
          <w:sz w:val="32"/>
          <w:szCs w:val="32"/>
          <w:highlight w:val="none"/>
          <w:lang w:val="en-US" w:eastAsia="zh-CN" w:bidi="ar-SA"/>
        </w:rPr>
        <w:t>%，决算数小于/预算数的主要原因是2025年2名人员退休，单位公积金</w:t>
      </w:r>
      <w:r>
        <w:rPr>
          <w:rFonts w:hint="eastAsia" w:eastAsia="仿宋_GB2312" w:cs="仿宋_GB2312"/>
          <w:color w:val="auto"/>
          <w:kern w:val="2"/>
          <w:sz w:val="32"/>
          <w:szCs w:val="32"/>
          <w:highlight w:val="none"/>
          <w:lang w:val="en-US" w:eastAsia="zh-CN" w:bidi="ar-SA"/>
        </w:rPr>
        <w:t>缴费</w:t>
      </w:r>
      <w:r>
        <w:rPr>
          <w:rFonts w:hint="eastAsia" w:ascii="Times New Roman" w:hAnsi="Times New Roman" w:eastAsia="仿宋_GB2312" w:cs="仿宋_GB2312"/>
          <w:color w:val="auto"/>
          <w:kern w:val="2"/>
          <w:sz w:val="32"/>
          <w:szCs w:val="32"/>
          <w:highlight w:val="none"/>
          <w:lang w:val="en-US" w:eastAsia="zh-CN" w:bidi="ar-SA"/>
        </w:rPr>
        <w:t>减少</w:t>
      </w:r>
      <w:r>
        <w:rPr>
          <w:rFonts w:hint="eastAsia" w:eastAsia="仿宋_GB2312" w:cs="仿宋_GB2312"/>
          <w:color w:val="auto"/>
          <w:kern w:val="2"/>
          <w:sz w:val="32"/>
          <w:szCs w:val="32"/>
          <w:highlight w:val="none"/>
          <w:lang w:val="en-US" w:eastAsia="zh-CN" w:bidi="ar-SA"/>
        </w:rPr>
        <w:t>。</w:t>
      </w:r>
    </w:p>
    <w:p w14:paraId="2EA09E70">
      <w:pPr>
        <w:tabs>
          <w:tab w:val="right" w:pos="8306"/>
        </w:tabs>
        <w:spacing w:line="600" w:lineRule="exact"/>
        <w:ind w:firstLine="640"/>
        <w:outlineLvl w:val="1"/>
        <w:rPr>
          <w:rStyle w:val="29"/>
          <w:rFonts w:ascii="Times New Roman" w:hAnsi="Times New Roman"/>
          <w:color w:val="auto"/>
          <w:highlight w:val="none"/>
        </w:rPr>
      </w:pPr>
      <w:bookmarkStart w:id="45" w:name="_Toc15377214"/>
      <w:bookmarkStart w:id="46" w:name="_Toc32191"/>
      <w:bookmarkStart w:id="47" w:name="_Toc15396608"/>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29"/>
          <w:rFonts w:hint="eastAsia" w:ascii="Times New Roman" w:hAnsi="Times New Roman" w:eastAsia="黑体"/>
          <w:b w:val="0"/>
          <w:color w:val="auto"/>
          <w:highlight w:val="none"/>
        </w:rPr>
        <w:t>般公共预算财政拨款基本支出决算情况说明</w:t>
      </w:r>
      <w:bookmarkEnd w:id="45"/>
      <w:bookmarkEnd w:id="46"/>
      <w:bookmarkEnd w:id="47"/>
      <w:r>
        <w:rPr>
          <w:rStyle w:val="29"/>
          <w:rFonts w:ascii="Times New Roman" w:hAnsi="Times New Roman" w:eastAsia="黑体"/>
          <w:b w:val="0"/>
          <w:color w:val="auto"/>
          <w:highlight w:val="none"/>
        </w:rPr>
        <w:tab/>
      </w:r>
    </w:p>
    <w:p w14:paraId="716D047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一般公共预算财政拨款基本支出</w:t>
      </w:r>
      <w:r>
        <w:rPr>
          <w:rFonts w:hint="eastAsia" w:eastAsia="仿宋_GB2312" w:cs="仿宋_GB2312"/>
          <w:color w:val="auto"/>
          <w:sz w:val="32"/>
          <w:szCs w:val="32"/>
          <w:highlight w:val="none"/>
          <w:lang w:val="en-US" w:eastAsia="zh-CN"/>
        </w:rPr>
        <w:t>1,176.74</w:t>
      </w:r>
      <w:r>
        <w:rPr>
          <w:rFonts w:hint="eastAsia" w:ascii="Times New Roman" w:hAnsi="Times New Roman" w:eastAsia="仿宋_GB2312" w:cs="仿宋_GB2312"/>
          <w:color w:val="auto"/>
          <w:kern w:val="2"/>
          <w:sz w:val="32"/>
          <w:szCs w:val="32"/>
          <w:highlight w:val="none"/>
          <w:lang w:val="en-US" w:eastAsia="zh-CN" w:bidi="ar-SA"/>
        </w:rPr>
        <w:t>万元，其中：</w:t>
      </w:r>
    </w:p>
    <w:p w14:paraId="53C12EC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eastAsia="仿宋_GB2312" w:cs="仿宋_GB2312"/>
          <w:color w:val="auto"/>
          <w:kern w:val="2"/>
          <w:sz w:val="32"/>
          <w:szCs w:val="32"/>
          <w:highlight w:val="none"/>
          <w:lang w:val="en-US" w:eastAsia="zh-CN" w:bidi="ar-SA"/>
        </w:rPr>
        <w:t>882.15</w:t>
      </w:r>
      <w:r>
        <w:rPr>
          <w:rFonts w:hint="eastAsia" w:ascii="Times New Roman" w:hAnsi="Times New Roman" w:eastAsia="仿宋_GB2312" w:cs="仿宋_GB2312"/>
          <w:color w:val="auto"/>
          <w:kern w:val="2"/>
          <w:sz w:val="32"/>
          <w:szCs w:val="32"/>
          <w:highlight w:val="none"/>
          <w:lang w:val="en-US" w:eastAsia="zh-CN" w:bidi="ar-SA"/>
        </w:rPr>
        <w:t>万元，主要包括：基本工资、津贴补贴、奖金、机关事业单位基本养老保险缴费、职业年金缴费、职工基本医疗保险缴费</w:t>
      </w:r>
      <w:r>
        <w:rPr>
          <w:rFonts w:hint="eastAsia" w:eastAsia="仿宋_GB2312" w:cs="仿宋_GB2312"/>
          <w:color w:val="auto"/>
          <w:kern w:val="2"/>
          <w:sz w:val="32"/>
          <w:szCs w:val="32"/>
          <w:highlight w:val="none"/>
          <w:lang w:val="en-US" w:eastAsia="zh-CN" w:bidi="ar-SA"/>
        </w:rPr>
        <w:t>、公务员医疗补助缴费、</w:t>
      </w:r>
      <w:r>
        <w:rPr>
          <w:rFonts w:hint="eastAsia" w:ascii="Times New Roman" w:hAnsi="Times New Roman" w:eastAsia="仿宋_GB2312" w:cs="仿宋_GB2312"/>
          <w:color w:val="auto"/>
          <w:kern w:val="2"/>
          <w:sz w:val="32"/>
          <w:szCs w:val="32"/>
          <w:highlight w:val="none"/>
          <w:lang w:val="en-US" w:eastAsia="zh-CN" w:bidi="ar-SA"/>
        </w:rPr>
        <w:t>其他社会保障缴费、其他工资福利支出、住房公积金、</w:t>
      </w:r>
      <w:r>
        <w:rPr>
          <w:rFonts w:hint="eastAsia" w:eastAsia="仿宋_GB2312" w:cs="仿宋_GB2312"/>
          <w:color w:val="auto"/>
          <w:kern w:val="2"/>
          <w:sz w:val="32"/>
          <w:szCs w:val="32"/>
          <w:highlight w:val="none"/>
          <w:lang w:val="en-US" w:eastAsia="zh-CN" w:bidi="ar-SA"/>
        </w:rPr>
        <w:t>奖励金、</w:t>
      </w:r>
      <w:r>
        <w:rPr>
          <w:rFonts w:hint="eastAsia" w:ascii="Times New Roman" w:hAnsi="Times New Roman" w:eastAsia="仿宋_GB2312" w:cs="仿宋_GB2312"/>
          <w:color w:val="auto"/>
          <w:kern w:val="2"/>
          <w:sz w:val="32"/>
          <w:szCs w:val="32"/>
          <w:highlight w:val="none"/>
          <w:lang w:val="en-US" w:eastAsia="zh-CN" w:bidi="ar-SA"/>
        </w:rPr>
        <w:t>其他对个人和家庭的补助支出等。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eastAsia="仿宋_GB2312" w:cs="仿宋_GB2312"/>
          <w:color w:val="auto"/>
          <w:kern w:val="2"/>
          <w:sz w:val="32"/>
          <w:szCs w:val="32"/>
          <w:highlight w:val="none"/>
          <w:lang w:val="en-US" w:eastAsia="zh-CN" w:bidi="ar-SA"/>
        </w:rPr>
        <w:t>294.59</w:t>
      </w:r>
      <w:r>
        <w:rPr>
          <w:rFonts w:hint="eastAsia" w:ascii="Times New Roman" w:hAnsi="Times New Roman" w:eastAsia="仿宋_GB2312" w:cs="仿宋_GB2312"/>
          <w:color w:val="auto"/>
          <w:kern w:val="2"/>
          <w:sz w:val="32"/>
          <w:szCs w:val="32"/>
          <w:highlight w:val="none"/>
          <w:lang w:val="en-US" w:eastAsia="zh-CN" w:bidi="ar-SA"/>
        </w:rPr>
        <w:t>万元，主要包括：办公费、印刷费、水费、电费、邮电费、差旅费、会议费、培训费、公务接待费、劳务费、工会经费、福利费、公务用车运行维护费、其他交通费、其他商品和服务支出等。</w:t>
      </w:r>
    </w:p>
    <w:p w14:paraId="7CAA429B">
      <w:pPr>
        <w:spacing w:line="600" w:lineRule="exact"/>
        <w:ind w:firstLine="640"/>
        <w:outlineLvl w:val="1"/>
        <w:rPr>
          <w:rStyle w:val="29"/>
          <w:rFonts w:ascii="Times New Roman" w:hAnsi="Times New Roman" w:eastAsia="黑体"/>
          <w:b w:val="0"/>
          <w:color w:val="auto"/>
          <w:highlight w:val="none"/>
        </w:rPr>
      </w:pPr>
      <w:bookmarkStart w:id="48" w:name="_Toc15396609"/>
      <w:bookmarkStart w:id="49" w:name="_Toc15377215"/>
      <w:bookmarkStart w:id="50" w:name="_Toc6436"/>
      <w:r>
        <w:rPr>
          <w:rFonts w:hint="eastAsia" w:ascii="Times New Roman" w:hAnsi="Times New Roman" w:eastAsia="黑体"/>
          <w:color w:val="auto"/>
          <w:sz w:val="32"/>
          <w:szCs w:val="32"/>
          <w:highlight w:val="none"/>
        </w:rPr>
        <w:t>七、</w:t>
      </w:r>
      <w:r>
        <w:rPr>
          <w:rStyle w:val="29"/>
          <w:rFonts w:hint="eastAsia" w:ascii="Times New Roman" w:hAnsi="Times New Roman" w:eastAsia="黑体"/>
          <w:b w:val="0"/>
          <w:color w:val="auto"/>
          <w:highlight w:val="none"/>
        </w:rPr>
        <w:t>财政拨款</w:t>
      </w:r>
      <w:r>
        <w:rPr>
          <w:rStyle w:val="29"/>
          <w:rFonts w:hint="eastAsia" w:ascii="Times New Roman" w:hAnsi="Times New Roman" w:eastAsia="黑体"/>
          <w:color w:val="auto"/>
          <w:highlight w:val="none"/>
        </w:rPr>
        <w:t>“</w:t>
      </w:r>
      <w:r>
        <w:rPr>
          <w:rStyle w:val="29"/>
          <w:rFonts w:hint="eastAsia" w:ascii="Times New Roman" w:hAnsi="Times New Roman" w:eastAsia="黑体"/>
          <w:b w:val="0"/>
          <w:color w:val="auto"/>
          <w:highlight w:val="none"/>
        </w:rPr>
        <w:t>三公”经费支出决算情况说明</w:t>
      </w:r>
      <w:bookmarkEnd w:id="48"/>
      <w:bookmarkEnd w:id="49"/>
      <w:bookmarkEnd w:id="50"/>
    </w:p>
    <w:p w14:paraId="54C0B40A">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1" w:name="_Toc15377216"/>
      <w:r>
        <w:rPr>
          <w:rFonts w:hint="eastAsia" w:ascii="Times New Roman" w:hAnsi="Times New Roman" w:eastAsia="楷体_GB2312" w:cs="楷体_GB2312"/>
          <w:b/>
          <w:color w:val="auto"/>
          <w:sz w:val="32"/>
          <w:szCs w:val="32"/>
          <w:highlight w:val="none"/>
        </w:rPr>
        <w:t>（一）财政拨款“三公”经费支出决算总体情况说明</w:t>
      </w:r>
      <w:bookmarkEnd w:id="51"/>
    </w:p>
    <w:p w14:paraId="6AF5AA99">
      <w:pPr>
        <w:spacing w:line="600" w:lineRule="exact"/>
        <w:ind w:firstLine="640"/>
        <w:rPr>
          <w:rFonts w:hint="eastAsia" w:ascii="Times New Roman" w:hAnsi="Times New Roman" w:eastAsia="仿宋_GB2312" w:cs="仿宋_GB2312"/>
          <w:color w:val="auto"/>
          <w:kern w:val="2"/>
          <w:sz w:val="32"/>
          <w:szCs w:val="32"/>
          <w:highlight w:val="yellow"/>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财政拨款“三公”经费支出决算为</w:t>
      </w:r>
      <w:r>
        <w:rPr>
          <w:rFonts w:hint="eastAsia" w:eastAsia="仿宋_GB2312" w:cs="仿宋_GB2312"/>
          <w:color w:val="auto"/>
          <w:kern w:val="2"/>
          <w:sz w:val="32"/>
          <w:szCs w:val="32"/>
          <w:highlight w:val="none"/>
          <w:lang w:val="en-US" w:eastAsia="zh-CN" w:bidi="ar-SA"/>
        </w:rPr>
        <w:t>8.5</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56.7</w:t>
      </w:r>
      <w:r>
        <w:rPr>
          <w:rFonts w:hint="eastAsia" w:ascii="Times New Roman" w:hAnsi="Times New Roman" w:eastAsia="仿宋_GB2312" w:cs="仿宋_GB2312"/>
          <w:color w:val="auto"/>
          <w:kern w:val="2"/>
          <w:sz w:val="32"/>
          <w:szCs w:val="32"/>
          <w:highlight w:val="none"/>
          <w:lang w:val="en-US" w:eastAsia="zh-CN" w:bidi="ar-SA"/>
        </w:rPr>
        <w:t>%，较上年度减少</w:t>
      </w:r>
      <w:r>
        <w:rPr>
          <w:rFonts w:hint="eastAsia" w:eastAsia="仿宋_GB2312" w:cs="仿宋_GB2312"/>
          <w:color w:val="auto"/>
          <w:kern w:val="2"/>
          <w:sz w:val="32"/>
          <w:szCs w:val="32"/>
          <w:highlight w:val="none"/>
          <w:lang w:val="en-US" w:eastAsia="zh-CN" w:bidi="ar-SA"/>
        </w:rPr>
        <w:t>13.28</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61</w:t>
      </w:r>
      <w:r>
        <w:rPr>
          <w:rFonts w:hint="eastAsia" w:ascii="Times New Roman" w:hAnsi="Times New Roman" w:eastAsia="仿宋_GB2312" w:cs="仿宋_GB2312"/>
          <w:color w:val="auto"/>
          <w:kern w:val="2"/>
          <w:sz w:val="32"/>
          <w:szCs w:val="32"/>
          <w:highlight w:val="none"/>
          <w:lang w:val="en-US" w:eastAsia="zh-CN" w:bidi="ar-SA"/>
        </w:rPr>
        <w:t>%。决算数小于预算数的主要原因是严格落实厉行节约有关要求，强化“三公”经费使用管控，从严压减非必要公务活动。</w:t>
      </w:r>
    </w:p>
    <w:p w14:paraId="56033FC6">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2" w:name="_Toc15377217"/>
      <w:r>
        <w:rPr>
          <w:rFonts w:hint="eastAsia" w:ascii="Times New Roman" w:hAnsi="Times New Roman" w:eastAsia="楷体_GB2312" w:cs="楷体_GB2312"/>
          <w:b/>
          <w:color w:val="auto"/>
          <w:sz w:val="32"/>
          <w:szCs w:val="32"/>
          <w:highlight w:val="none"/>
        </w:rPr>
        <w:t>（二）财政拨款“三公”经费支出决算具体情况说明</w:t>
      </w:r>
      <w:bookmarkEnd w:id="52"/>
    </w:p>
    <w:p w14:paraId="00936106">
      <w:pPr>
        <w:spacing w:line="240" w:lineRule="auto"/>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财政拨款“三公”经费支出决算中，因公出国（境）费支出决算</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w:t>
      </w:r>
      <w:r>
        <w:rPr>
          <w:rFonts w:hint="eastAsia" w:eastAsia="仿宋_GB2312" w:cs="仿宋_GB2312"/>
          <w:color w:val="auto"/>
          <w:kern w:val="2"/>
          <w:sz w:val="32"/>
          <w:szCs w:val="32"/>
          <w:highlight w:val="none"/>
          <w:lang w:val="en-US" w:eastAsia="zh-CN" w:bidi="ar-SA"/>
        </w:rPr>
        <w:t>6.89</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81.1</w:t>
      </w:r>
      <w:r>
        <w:rPr>
          <w:rFonts w:hint="eastAsia" w:ascii="Times New Roman" w:hAnsi="Times New Roman" w:eastAsia="仿宋_GB2312" w:cs="仿宋_GB2312"/>
          <w:color w:val="auto"/>
          <w:kern w:val="2"/>
          <w:sz w:val="32"/>
          <w:szCs w:val="32"/>
          <w:highlight w:val="none"/>
          <w:lang w:val="en-US" w:eastAsia="zh-CN" w:bidi="ar-SA"/>
        </w:rPr>
        <w:t>%；公务接待费支出决算</w:t>
      </w:r>
      <w:r>
        <w:rPr>
          <w:rFonts w:hint="eastAsia" w:eastAsia="仿宋_GB2312" w:cs="仿宋_GB2312"/>
          <w:color w:val="auto"/>
          <w:kern w:val="2"/>
          <w:sz w:val="32"/>
          <w:szCs w:val="32"/>
          <w:highlight w:val="none"/>
          <w:lang w:val="en-US" w:eastAsia="zh-CN" w:bidi="ar-SA"/>
        </w:rPr>
        <w:t>1.6</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18.9</w:t>
      </w:r>
      <w:r>
        <w:rPr>
          <w:rFonts w:hint="eastAsia" w:ascii="Times New Roman" w:hAnsi="Times New Roman" w:eastAsia="仿宋_GB2312" w:cs="仿宋_GB2312"/>
          <w:color w:val="auto"/>
          <w:kern w:val="2"/>
          <w:sz w:val="32"/>
          <w:szCs w:val="32"/>
          <w:highlight w:val="none"/>
          <w:lang w:val="en-US" w:eastAsia="zh-CN" w:bidi="ar-SA"/>
        </w:rPr>
        <w:t>%。具体情况如下：</w:t>
      </w:r>
    </w:p>
    <w:p w14:paraId="799CF10B">
      <w:pPr>
        <w:keepNext w:val="0"/>
        <w:keepLines w:val="0"/>
        <w:pageBreakBefore w:val="0"/>
        <w:widowControl w:val="0"/>
        <w:kinsoku/>
        <w:wordWrap/>
        <w:overflowPunct/>
        <w:topLinePunct w:val="0"/>
        <w:autoSpaceDE/>
        <w:autoSpaceDN/>
        <w:bidi w:val="0"/>
        <w:adjustRightInd/>
        <w:snapToGrid/>
        <w:spacing w:line="240" w:lineRule="auto"/>
        <w:ind w:firstLine="0"/>
        <w:textAlignment w:val="auto"/>
        <w:rPr>
          <w:rFonts w:hint="eastAsia" w:ascii="Times New Roman" w:hAnsi="Times New Roman" w:eastAsia="仿宋_GB2312" w:cs="仿宋_GB2312"/>
          <w:color w:val="auto"/>
          <w:kern w:val="2"/>
          <w:sz w:val="32"/>
          <w:szCs w:val="32"/>
          <w:highlight w:val="none"/>
          <w:lang w:val="en-US" w:eastAsia="zh-CN" w:bidi="ar-SA"/>
        </w:rPr>
      </w:pPr>
      <w:r>
        <w:drawing>
          <wp:inline distT="0" distB="0" distL="114300" distR="114300">
            <wp:extent cx="5200650" cy="2743200"/>
            <wp:effectExtent l="4445" t="4445" r="14605" b="8255"/>
            <wp:docPr id="10"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9DBCF13">
      <w:pPr>
        <w:spacing w:line="240" w:lineRule="auto"/>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1.因公出国（境）经费支出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全年安排因公出国（境）团组</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次，出国（境）</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人。因公出国（境）支出决算比</w:t>
      </w:r>
      <w:r>
        <w:rPr>
          <w:rFonts w:hint="eastAsia" w:eastAsia="仿宋_GB2312" w:cs="仿宋_GB2312"/>
          <w:color w:val="auto"/>
          <w:kern w:val="2"/>
          <w:sz w:val="32"/>
          <w:szCs w:val="32"/>
          <w:highlight w:val="none"/>
          <w:lang w:val="en-US" w:eastAsia="zh-CN" w:bidi="ar-SA"/>
        </w:rPr>
        <w:t>上年度</w:t>
      </w:r>
      <w:r>
        <w:rPr>
          <w:rFonts w:hint="eastAsia" w:ascii="Times New Roman" w:hAnsi="Times New Roman" w:eastAsia="仿宋_GB2312" w:cs="仿宋_GB2312"/>
          <w:color w:val="auto"/>
          <w:kern w:val="2"/>
          <w:sz w:val="32"/>
          <w:szCs w:val="32"/>
          <w:highlight w:val="none"/>
          <w:lang w:val="en-US" w:eastAsia="zh-CN" w:bidi="ar-SA"/>
        </w:rPr>
        <w:t>减少</w:t>
      </w:r>
      <w:r>
        <w:rPr>
          <w:rFonts w:hint="eastAsia" w:eastAsia="仿宋_GB2312" w:cs="仿宋_GB2312"/>
          <w:color w:val="auto"/>
          <w:kern w:val="2"/>
          <w:sz w:val="32"/>
          <w:szCs w:val="32"/>
          <w:highlight w:val="none"/>
          <w:lang w:val="en-US" w:eastAsia="zh-CN" w:bidi="ar-SA"/>
        </w:rPr>
        <w:t>11.28</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2025年度未发生</w:t>
      </w:r>
      <w:r>
        <w:rPr>
          <w:rFonts w:hint="eastAsia" w:ascii="Times New Roman" w:hAnsi="Times New Roman" w:eastAsia="仿宋_GB2312" w:cs="仿宋_GB2312"/>
          <w:color w:val="auto"/>
          <w:kern w:val="2"/>
          <w:sz w:val="32"/>
          <w:szCs w:val="32"/>
          <w:highlight w:val="none"/>
          <w:lang w:val="en-US" w:eastAsia="zh-CN" w:bidi="ar-SA"/>
        </w:rPr>
        <w:t>因公出国（境）</w:t>
      </w:r>
      <w:r>
        <w:rPr>
          <w:rFonts w:hint="eastAsia" w:eastAsia="仿宋_GB2312" w:cs="仿宋_GB2312"/>
          <w:color w:val="auto"/>
          <w:kern w:val="2"/>
          <w:sz w:val="32"/>
          <w:szCs w:val="32"/>
          <w:highlight w:val="none"/>
          <w:lang w:val="en-US" w:eastAsia="zh-CN" w:bidi="ar-SA"/>
        </w:rPr>
        <w:t>活动。</w:t>
      </w:r>
    </w:p>
    <w:p w14:paraId="3848F0DB">
      <w:pPr>
        <w:spacing w:line="600" w:lineRule="exact"/>
        <w:ind w:firstLine="640"/>
        <w:rPr>
          <w:rFonts w:hint="default" w:ascii="Times New Roman" w:hAnsi="Times New Roman" w:eastAsia="仿宋_GB2312" w:cs="仿宋_GB2312"/>
          <w:color w:val="auto"/>
          <w:kern w:val="2"/>
          <w:sz w:val="32"/>
          <w:szCs w:val="32"/>
          <w:highlight w:val="yellow"/>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eastAsia="仿宋_GB2312" w:cs="仿宋_GB2312"/>
          <w:b/>
          <w:bCs/>
          <w:color w:val="auto"/>
          <w:kern w:val="2"/>
          <w:sz w:val="32"/>
          <w:szCs w:val="32"/>
          <w:highlight w:val="none"/>
          <w:lang w:val="en-US" w:eastAsia="zh-CN" w:bidi="ar-SA"/>
        </w:rPr>
        <w:t>6.89</w:t>
      </w:r>
      <w:r>
        <w:rPr>
          <w:rFonts w:hint="eastAsia" w:ascii="Times New Roman" w:hAnsi="Times New Roman" w:eastAsia="仿宋_GB2312" w:cs="仿宋_GB2312"/>
          <w:b/>
          <w:bCs/>
          <w:color w:val="auto"/>
          <w:kern w:val="2"/>
          <w:sz w:val="32"/>
          <w:szCs w:val="32"/>
          <w:highlight w:val="none"/>
          <w:lang w:val="en-US" w:eastAsia="zh-CN" w:bidi="ar-SA"/>
        </w:rPr>
        <w:t>万元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57.4</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w:t>
      </w:r>
      <w:r>
        <w:rPr>
          <w:rFonts w:hint="eastAsia" w:eastAsia="仿宋_GB2312" w:cs="仿宋_GB2312"/>
          <w:color w:val="auto"/>
          <w:kern w:val="2"/>
          <w:sz w:val="32"/>
          <w:szCs w:val="32"/>
          <w:highlight w:val="none"/>
          <w:lang w:val="en-US" w:eastAsia="zh-CN" w:bidi="ar-SA"/>
        </w:rPr>
        <w:t>上年度</w:t>
      </w:r>
      <w:r>
        <w:rPr>
          <w:rFonts w:hint="eastAsia" w:ascii="Times New Roman" w:hAnsi="Times New Roman" w:eastAsia="仿宋_GB2312" w:cs="仿宋_GB2312"/>
          <w:color w:val="auto"/>
          <w:kern w:val="2"/>
          <w:sz w:val="32"/>
          <w:szCs w:val="32"/>
          <w:highlight w:val="none"/>
          <w:lang w:val="en-US" w:eastAsia="zh-CN" w:bidi="ar-SA"/>
        </w:rPr>
        <w:t>减少</w:t>
      </w:r>
      <w:r>
        <w:rPr>
          <w:rFonts w:hint="eastAsia" w:eastAsia="仿宋_GB2312" w:cs="仿宋_GB2312"/>
          <w:color w:val="auto"/>
          <w:kern w:val="2"/>
          <w:sz w:val="32"/>
          <w:szCs w:val="32"/>
          <w:highlight w:val="none"/>
          <w:lang w:val="en-US" w:eastAsia="zh-CN" w:bidi="ar-SA"/>
        </w:rPr>
        <w:t>0.66</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8.7</w:t>
      </w:r>
      <w:r>
        <w:rPr>
          <w:rFonts w:hint="eastAsia" w:ascii="Times New Roman" w:hAnsi="Times New Roman" w:eastAsia="仿宋_GB2312" w:cs="仿宋_GB2312"/>
          <w:color w:val="auto"/>
          <w:kern w:val="2"/>
          <w:sz w:val="32"/>
          <w:szCs w:val="32"/>
          <w:highlight w:val="none"/>
          <w:lang w:val="en-US" w:eastAsia="zh-CN" w:bidi="ar-SA"/>
        </w:rPr>
        <w:t>%。主要原因是严格落实厉行节约要求，加强公务用车规范化管理，优化车辆调度使用，合理统筹公务出行，减少车辆非必要行驶里程，燃油消耗有所下降</w:t>
      </w:r>
      <w:r>
        <w:rPr>
          <w:rFonts w:hint="eastAsia" w:eastAsia="仿宋_GB2312" w:cs="仿宋_GB2312"/>
          <w:color w:val="auto"/>
          <w:kern w:val="2"/>
          <w:sz w:val="32"/>
          <w:szCs w:val="32"/>
          <w:highlight w:val="none"/>
          <w:lang w:val="en-US" w:eastAsia="zh-CN" w:bidi="ar-SA"/>
        </w:rPr>
        <w:t>。</w:t>
      </w:r>
    </w:p>
    <w:p w14:paraId="6460FA3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其中：公务用车购置支出</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万元。全年按规定更新购置公务用车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辆。截至202</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年12月31日，单位共有公务用车</w:t>
      </w: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辆，其中：轿车</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辆、越野车</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辆。</w:t>
      </w:r>
    </w:p>
    <w:p w14:paraId="283AE21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公务用车运行维护费支出</w:t>
      </w:r>
      <w:r>
        <w:rPr>
          <w:rFonts w:hint="eastAsia" w:eastAsia="仿宋_GB2312" w:cs="仿宋_GB2312"/>
          <w:color w:val="auto"/>
          <w:kern w:val="2"/>
          <w:sz w:val="32"/>
          <w:szCs w:val="32"/>
          <w:highlight w:val="none"/>
          <w:lang w:val="en-US" w:eastAsia="zh-CN" w:bidi="ar-SA"/>
        </w:rPr>
        <w:t>6.89</w:t>
      </w:r>
      <w:r>
        <w:rPr>
          <w:rFonts w:hint="eastAsia" w:ascii="Times New Roman" w:hAnsi="Times New Roman" w:eastAsia="仿宋_GB2312" w:cs="仿宋_GB2312"/>
          <w:color w:val="auto"/>
          <w:kern w:val="2"/>
          <w:sz w:val="32"/>
          <w:szCs w:val="32"/>
          <w:highlight w:val="none"/>
          <w:lang w:val="en-US" w:eastAsia="zh-CN" w:bidi="ar-SA"/>
        </w:rPr>
        <w:t>万元。主要用于参政议政</w:t>
      </w:r>
    </w:p>
    <w:p w14:paraId="1C37D3DB">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调研、社会服务、民主监督</w:t>
      </w:r>
      <w:r>
        <w:rPr>
          <w:rFonts w:hint="eastAsia" w:eastAsia="仿宋_GB2312" w:cs="仿宋_GB2312"/>
          <w:color w:val="auto"/>
          <w:kern w:val="2"/>
          <w:sz w:val="32"/>
          <w:szCs w:val="32"/>
          <w:highlight w:val="none"/>
          <w:lang w:val="en-US" w:eastAsia="zh-CN" w:bidi="ar-SA"/>
        </w:rPr>
        <w:t>等</w:t>
      </w:r>
      <w:r>
        <w:rPr>
          <w:rFonts w:hint="eastAsia" w:ascii="Times New Roman" w:hAnsi="Times New Roman" w:eastAsia="仿宋_GB2312" w:cs="仿宋_GB2312"/>
          <w:color w:val="auto"/>
          <w:kern w:val="2"/>
          <w:sz w:val="32"/>
          <w:szCs w:val="32"/>
          <w:highlight w:val="none"/>
          <w:lang w:val="en-US" w:eastAsia="zh-CN" w:bidi="ar-SA"/>
        </w:rPr>
        <w:t>所需的公务用车燃料费、维修费、过路过桥费、保险费等支出。</w:t>
      </w:r>
    </w:p>
    <w:p w14:paraId="4D2EC91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eastAsia="仿宋_GB2312" w:cs="仿宋_GB2312"/>
          <w:b/>
          <w:bCs/>
          <w:color w:val="auto"/>
          <w:kern w:val="2"/>
          <w:sz w:val="32"/>
          <w:szCs w:val="32"/>
          <w:highlight w:val="none"/>
          <w:lang w:val="en-US" w:eastAsia="zh-CN" w:bidi="ar-SA"/>
        </w:rPr>
        <w:t>1.6</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hint="eastAsia" w:eastAsia="仿宋_GB2312" w:cs="仿宋_GB2312"/>
          <w:b/>
          <w:bCs/>
          <w:color w:val="auto"/>
          <w:kern w:val="2"/>
          <w:sz w:val="32"/>
          <w:szCs w:val="32"/>
          <w:highlight w:val="none"/>
          <w:lang w:val="en-US" w:eastAsia="zh-CN" w:bidi="ar-SA"/>
        </w:rPr>
        <w:t>53.3</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公务接待费支出决算比</w:t>
      </w:r>
      <w:r>
        <w:rPr>
          <w:rFonts w:hint="eastAsia" w:eastAsia="仿宋_GB2312" w:cs="仿宋_GB2312"/>
          <w:color w:val="auto"/>
          <w:kern w:val="2"/>
          <w:sz w:val="32"/>
          <w:szCs w:val="32"/>
          <w:highlight w:val="none"/>
          <w:lang w:val="en-US" w:eastAsia="zh-CN" w:bidi="ar-SA"/>
        </w:rPr>
        <w:t>上</w:t>
      </w:r>
      <w:r>
        <w:rPr>
          <w:rFonts w:hint="eastAsia" w:ascii="Times New Roman" w:hAnsi="Times New Roman" w:eastAsia="仿宋_GB2312" w:cs="仿宋_GB2312"/>
          <w:color w:val="auto"/>
          <w:kern w:val="2"/>
          <w:sz w:val="32"/>
          <w:szCs w:val="32"/>
          <w:highlight w:val="none"/>
          <w:lang w:val="en-US" w:eastAsia="zh-CN" w:bidi="ar-SA"/>
        </w:rPr>
        <w:t>年度减少</w:t>
      </w:r>
      <w:r>
        <w:rPr>
          <w:rFonts w:hint="eastAsia" w:eastAsia="仿宋_GB2312" w:cs="仿宋_GB2312"/>
          <w:color w:val="auto"/>
          <w:kern w:val="2"/>
          <w:sz w:val="32"/>
          <w:szCs w:val="32"/>
          <w:highlight w:val="none"/>
          <w:lang w:val="en-US" w:eastAsia="zh-CN" w:bidi="ar-SA"/>
        </w:rPr>
        <w:t>1.35</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45.8</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2025</w:t>
      </w:r>
      <w:r>
        <w:rPr>
          <w:rFonts w:hint="eastAsia" w:ascii="Times New Roman" w:hAnsi="Times New Roman" w:eastAsia="仿宋_GB2312" w:cs="仿宋_GB2312"/>
          <w:color w:val="auto"/>
          <w:kern w:val="2"/>
          <w:sz w:val="32"/>
          <w:szCs w:val="32"/>
          <w:highlight w:val="none"/>
          <w:lang w:val="en-US" w:eastAsia="zh-CN" w:bidi="ar-SA"/>
        </w:rPr>
        <w:t>年度来本单位开展公务活动批次、人次同比下降，公务接待实际支出相应减少。其中：</w:t>
      </w:r>
    </w:p>
    <w:p w14:paraId="1E9310E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国内公务接待支出</w:t>
      </w:r>
      <w:r>
        <w:rPr>
          <w:rFonts w:hint="eastAsia" w:eastAsia="仿宋_GB2312" w:cs="仿宋_GB2312"/>
          <w:color w:val="auto"/>
          <w:kern w:val="2"/>
          <w:sz w:val="32"/>
          <w:szCs w:val="32"/>
          <w:highlight w:val="none"/>
          <w:lang w:val="en-US" w:eastAsia="zh-CN" w:bidi="ar-SA"/>
        </w:rPr>
        <w:t>1.6</w:t>
      </w:r>
      <w:r>
        <w:rPr>
          <w:rFonts w:hint="eastAsia" w:ascii="Times New Roman" w:hAnsi="Times New Roman" w:eastAsia="仿宋_GB2312" w:cs="仿宋_GB2312"/>
          <w:color w:val="auto"/>
          <w:kern w:val="2"/>
          <w:sz w:val="32"/>
          <w:szCs w:val="32"/>
          <w:highlight w:val="none"/>
          <w:lang w:val="en-US" w:eastAsia="zh-CN" w:bidi="ar-SA"/>
        </w:rPr>
        <w:t>万元，主要用于执行公务、开展业务活动开支的用餐费。国内公务接待</w:t>
      </w:r>
      <w:r>
        <w:rPr>
          <w:rFonts w:hint="eastAsia" w:eastAsia="仿宋_GB2312" w:cs="仿宋_GB2312"/>
          <w:color w:val="auto"/>
          <w:kern w:val="2"/>
          <w:sz w:val="32"/>
          <w:szCs w:val="32"/>
          <w:highlight w:val="none"/>
          <w:lang w:val="en-US" w:eastAsia="zh-CN" w:bidi="ar-SA"/>
        </w:rPr>
        <w:t>14</w:t>
      </w:r>
      <w:r>
        <w:rPr>
          <w:rFonts w:hint="eastAsia" w:ascii="Times New Roman" w:hAnsi="Times New Roman" w:eastAsia="仿宋_GB2312" w:cs="仿宋_GB2312"/>
          <w:color w:val="auto"/>
          <w:kern w:val="2"/>
          <w:sz w:val="32"/>
          <w:szCs w:val="32"/>
          <w:highlight w:val="none"/>
          <w:lang w:val="en-US" w:eastAsia="zh-CN" w:bidi="ar-SA"/>
        </w:rPr>
        <w:t>批次，</w:t>
      </w:r>
      <w:r>
        <w:rPr>
          <w:rFonts w:hint="eastAsia" w:eastAsia="仿宋_GB2312" w:cs="仿宋_GB2312"/>
          <w:color w:val="auto"/>
          <w:kern w:val="2"/>
          <w:sz w:val="32"/>
          <w:szCs w:val="32"/>
          <w:highlight w:val="none"/>
          <w:lang w:val="en-US" w:eastAsia="zh-CN" w:bidi="ar-SA"/>
        </w:rPr>
        <w:t>90</w:t>
      </w:r>
      <w:r>
        <w:rPr>
          <w:rFonts w:hint="eastAsia" w:ascii="Times New Roman" w:hAnsi="Times New Roman" w:eastAsia="仿宋_GB2312" w:cs="仿宋_GB2312"/>
          <w:color w:val="auto"/>
          <w:kern w:val="2"/>
          <w:sz w:val="32"/>
          <w:szCs w:val="32"/>
          <w:highlight w:val="none"/>
          <w:lang w:val="en-US" w:eastAsia="zh-CN" w:bidi="ar-SA"/>
        </w:rPr>
        <w:t>人次（不包括陪同人员），共计支出</w:t>
      </w:r>
      <w:r>
        <w:rPr>
          <w:rFonts w:hint="eastAsia" w:eastAsia="仿宋_GB2312" w:cs="仿宋_GB2312"/>
          <w:color w:val="auto"/>
          <w:kern w:val="2"/>
          <w:sz w:val="32"/>
          <w:szCs w:val="32"/>
          <w:highlight w:val="none"/>
          <w:lang w:val="en-US" w:eastAsia="zh-CN" w:bidi="ar-SA"/>
        </w:rPr>
        <w:t>1.6</w:t>
      </w:r>
      <w:r>
        <w:rPr>
          <w:rFonts w:hint="eastAsia" w:ascii="Times New Roman" w:hAnsi="Times New Roman" w:eastAsia="仿宋_GB2312" w:cs="仿宋_GB2312"/>
          <w:color w:val="auto"/>
          <w:kern w:val="2"/>
          <w:sz w:val="32"/>
          <w:szCs w:val="32"/>
          <w:highlight w:val="none"/>
          <w:lang w:val="en-US" w:eastAsia="zh-CN" w:bidi="ar-SA"/>
        </w:rPr>
        <w:t>万元，具体内容包括：同级部门之间的工作交接，学习及下级部门的工作汇报等</w:t>
      </w:r>
      <w:r>
        <w:rPr>
          <w:rFonts w:hint="eastAsia" w:eastAsia="仿宋_GB2312" w:cs="仿宋_GB2312"/>
          <w:color w:val="auto"/>
          <w:kern w:val="2"/>
          <w:sz w:val="32"/>
          <w:szCs w:val="32"/>
          <w:highlight w:val="none"/>
          <w:lang w:val="en-US" w:eastAsia="zh-CN" w:bidi="ar-SA"/>
        </w:rPr>
        <w:t>，金额为1.6</w:t>
      </w:r>
      <w:r>
        <w:rPr>
          <w:rFonts w:hint="eastAsia" w:ascii="Times New Roman" w:hAnsi="Times New Roman" w:eastAsia="仿宋_GB2312" w:cs="仿宋_GB2312"/>
          <w:color w:val="auto"/>
          <w:kern w:val="2"/>
          <w:sz w:val="32"/>
          <w:szCs w:val="32"/>
          <w:highlight w:val="none"/>
          <w:lang w:val="en-US" w:eastAsia="zh-CN" w:bidi="ar-SA"/>
        </w:rPr>
        <w:t>万元。</w:t>
      </w:r>
    </w:p>
    <w:p w14:paraId="58F162E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外事接待支出</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w:t>
      </w:r>
    </w:p>
    <w:p w14:paraId="33924A83">
      <w:pPr>
        <w:spacing w:line="600" w:lineRule="exact"/>
        <w:ind w:firstLine="640"/>
        <w:outlineLvl w:val="1"/>
        <w:rPr>
          <w:rStyle w:val="29"/>
          <w:rFonts w:ascii="Times New Roman" w:hAnsi="Times New Roman" w:eastAsia="黑体"/>
          <w:color w:val="auto"/>
          <w:highlight w:val="none"/>
        </w:rPr>
      </w:pPr>
      <w:bookmarkStart w:id="53" w:name="_Toc15396610"/>
      <w:bookmarkStart w:id="54" w:name="_Toc15377218"/>
      <w:bookmarkStart w:id="55" w:name="_Toc29287"/>
      <w:r>
        <w:rPr>
          <w:rFonts w:hint="eastAsia" w:ascii="Times New Roman" w:hAnsi="Times New Roman" w:eastAsia="黑体"/>
          <w:color w:val="auto"/>
          <w:sz w:val="32"/>
          <w:szCs w:val="32"/>
          <w:highlight w:val="none"/>
        </w:rPr>
        <w:t>八、</w:t>
      </w:r>
      <w:r>
        <w:rPr>
          <w:rStyle w:val="29"/>
          <w:rFonts w:hint="eastAsia" w:ascii="Times New Roman" w:hAnsi="Times New Roman" w:eastAsia="黑体"/>
          <w:b w:val="0"/>
          <w:color w:val="auto"/>
          <w:highlight w:val="none"/>
        </w:rPr>
        <w:t>政府性基金预算支出决算情况说明</w:t>
      </w:r>
      <w:bookmarkEnd w:id="53"/>
      <w:bookmarkEnd w:id="54"/>
      <w:bookmarkEnd w:id="55"/>
    </w:p>
    <w:p w14:paraId="2911BEA1">
      <w:pPr>
        <w:numPr>
          <w:ilvl w:val="0"/>
          <w:numId w:val="0"/>
        </w:numPr>
        <w:spacing w:line="600" w:lineRule="exact"/>
        <w:ind w:left="630" w:leftChars="0"/>
        <w:outlineLvl w:val="9"/>
        <w:rPr>
          <w:rFonts w:hint="eastAsia"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政府性基金预算财政拨款支出</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w:t>
      </w:r>
      <w:r>
        <w:rPr>
          <w:rFonts w:hint="eastAsia" w:eastAsia="仿宋_GB2312" w:cs="仿宋_GB2312"/>
          <w:color w:val="auto"/>
          <w:kern w:val="2"/>
          <w:sz w:val="32"/>
          <w:szCs w:val="32"/>
          <w:highlight w:val="none"/>
          <w:lang w:val="en-US" w:eastAsia="zh-CN" w:bidi="ar-SA"/>
        </w:rPr>
        <w:t>。</w:t>
      </w:r>
      <w:bookmarkStart w:id="56" w:name="_Toc15396611"/>
      <w:bookmarkStart w:id="57" w:name="_Toc15377219"/>
    </w:p>
    <w:p w14:paraId="2043BCEC">
      <w:pPr>
        <w:numPr>
          <w:ilvl w:val="0"/>
          <w:numId w:val="0"/>
        </w:numPr>
        <w:spacing w:line="600" w:lineRule="exact"/>
        <w:ind w:left="630" w:leftChars="0"/>
        <w:outlineLvl w:val="1"/>
        <w:rPr>
          <w:rStyle w:val="29"/>
          <w:rFonts w:ascii="Times New Roman" w:hAnsi="Times New Roman" w:eastAsia="黑体"/>
          <w:b w:val="0"/>
          <w:color w:val="auto"/>
          <w:highlight w:val="none"/>
        </w:rPr>
      </w:pPr>
      <w:bookmarkStart w:id="58" w:name="_Toc14009"/>
      <w:r>
        <w:rPr>
          <w:rStyle w:val="29"/>
          <w:rFonts w:hint="eastAsia" w:ascii="Times New Roman" w:hAnsi="Times New Roman" w:eastAsia="黑体"/>
          <w:b w:val="0"/>
          <w:color w:val="auto"/>
          <w:highlight w:val="none"/>
          <w:lang w:eastAsia="zh-CN"/>
        </w:rPr>
        <w:t>九、</w:t>
      </w:r>
      <w:r>
        <w:rPr>
          <w:rStyle w:val="29"/>
          <w:rFonts w:hint="eastAsia" w:ascii="Times New Roman" w:hAnsi="Times New Roman" w:eastAsia="黑体"/>
          <w:b w:val="0"/>
          <w:color w:val="auto"/>
          <w:highlight w:val="none"/>
        </w:rPr>
        <w:t>国有资本经营预算支出决算情况说明</w:t>
      </w:r>
      <w:bookmarkEnd w:id="56"/>
      <w:bookmarkEnd w:id="57"/>
      <w:bookmarkEnd w:id="58"/>
    </w:p>
    <w:p w14:paraId="04BB6F9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国有资本经营预算财政拨款支出</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w:t>
      </w:r>
    </w:p>
    <w:p w14:paraId="634AE28B">
      <w:pPr>
        <w:numPr>
          <w:ilvl w:val="0"/>
          <w:numId w:val="0"/>
        </w:numPr>
        <w:spacing w:line="600" w:lineRule="exact"/>
        <w:ind w:left="630" w:leftChars="0"/>
        <w:outlineLvl w:val="1"/>
        <w:rPr>
          <w:rStyle w:val="29"/>
          <w:rFonts w:hint="eastAsia" w:ascii="Times New Roman" w:hAnsi="Times New Roman" w:eastAsia="黑体"/>
          <w:b w:val="0"/>
          <w:color w:val="auto"/>
          <w:highlight w:val="none"/>
        </w:rPr>
      </w:pPr>
      <w:bookmarkStart w:id="59" w:name="_Toc15396612"/>
      <w:bookmarkStart w:id="60" w:name="_Toc15377221"/>
      <w:bookmarkStart w:id="61" w:name="_Toc16930"/>
      <w:r>
        <w:rPr>
          <w:rStyle w:val="29"/>
          <w:rFonts w:hint="eastAsia" w:ascii="Times New Roman" w:hAnsi="Times New Roman" w:eastAsia="黑体"/>
          <w:b w:val="0"/>
          <w:color w:val="auto"/>
          <w:highlight w:val="none"/>
          <w:lang w:eastAsia="zh-CN"/>
        </w:rPr>
        <w:t>十、</w:t>
      </w:r>
      <w:r>
        <w:rPr>
          <w:rStyle w:val="29"/>
          <w:rFonts w:hint="eastAsia" w:ascii="Times New Roman" w:hAnsi="Times New Roman" w:eastAsia="黑体"/>
          <w:b w:val="0"/>
          <w:color w:val="auto"/>
          <w:highlight w:val="none"/>
        </w:rPr>
        <w:t>其他重要事项的情况说明</w:t>
      </w:r>
      <w:bookmarkEnd w:id="59"/>
      <w:bookmarkEnd w:id="60"/>
      <w:bookmarkEnd w:id="61"/>
    </w:p>
    <w:p w14:paraId="03856B4B">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62" w:name="_Toc15377222"/>
      <w:r>
        <w:rPr>
          <w:rFonts w:hint="eastAsia" w:ascii="Times New Roman" w:hAnsi="Times New Roman" w:eastAsia="楷体_GB2312" w:cs="楷体_GB2312"/>
          <w:b/>
          <w:color w:val="auto"/>
          <w:sz w:val="32"/>
          <w:szCs w:val="32"/>
          <w:highlight w:val="none"/>
        </w:rPr>
        <w:t>（一）机关运行经费支出情况</w:t>
      </w:r>
      <w:bookmarkEnd w:id="62"/>
    </w:p>
    <w:p w14:paraId="25DCF2D4">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九三学社四川省委员会</w:t>
      </w:r>
      <w:r>
        <w:rPr>
          <w:rFonts w:hint="eastAsia" w:ascii="Times New Roman" w:hAnsi="Times New Roman" w:eastAsia="仿宋_GB2312" w:cs="仿宋_GB2312"/>
          <w:color w:val="auto"/>
          <w:kern w:val="2"/>
          <w:sz w:val="32"/>
          <w:szCs w:val="32"/>
          <w:highlight w:val="none"/>
          <w:lang w:val="en-US" w:eastAsia="zh-CN" w:bidi="ar-SA"/>
        </w:rPr>
        <w:t>机关运行经费支出</w:t>
      </w:r>
      <w:r>
        <w:rPr>
          <w:rFonts w:hint="eastAsia" w:eastAsia="仿宋_GB2312" w:cs="仿宋_GB2312"/>
          <w:color w:val="auto"/>
          <w:kern w:val="2"/>
          <w:sz w:val="32"/>
          <w:szCs w:val="32"/>
          <w:highlight w:val="none"/>
          <w:lang w:val="en-US" w:eastAsia="zh-CN" w:bidi="ar-SA"/>
        </w:rPr>
        <w:t>294.59</w:t>
      </w:r>
      <w:r>
        <w:rPr>
          <w:rFonts w:hint="eastAsia" w:ascii="Times New Roman" w:hAnsi="Times New Roman" w:eastAsia="仿宋_GB2312" w:cs="仿宋_GB2312"/>
          <w:color w:val="auto"/>
          <w:kern w:val="2"/>
          <w:sz w:val="32"/>
          <w:szCs w:val="32"/>
          <w:highlight w:val="none"/>
          <w:lang w:val="en-US" w:eastAsia="zh-CN" w:bidi="ar-SA"/>
        </w:rPr>
        <w:t>万元，比</w:t>
      </w:r>
      <w:r>
        <w:rPr>
          <w:rFonts w:hint="eastAsia" w:eastAsia="仿宋_GB2312" w:cs="仿宋_GB2312"/>
          <w:color w:val="auto"/>
          <w:kern w:val="2"/>
          <w:sz w:val="32"/>
          <w:szCs w:val="32"/>
          <w:highlight w:val="none"/>
          <w:lang w:val="en-US" w:eastAsia="zh-CN" w:bidi="ar-SA"/>
        </w:rPr>
        <w:t>上</w:t>
      </w:r>
      <w:r>
        <w:rPr>
          <w:rFonts w:hint="eastAsia" w:ascii="Times New Roman" w:hAnsi="Times New Roman" w:eastAsia="仿宋_GB2312" w:cs="仿宋_GB2312"/>
          <w:color w:val="auto"/>
          <w:kern w:val="2"/>
          <w:sz w:val="32"/>
          <w:szCs w:val="32"/>
          <w:highlight w:val="none"/>
          <w:lang w:val="en-US" w:eastAsia="zh-CN" w:bidi="ar-SA"/>
        </w:rPr>
        <w:t>年度减少</w:t>
      </w:r>
      <w:r>
        <w:rPr>
          <w:rFonts w:hint="eastAsia" w:eastAsia="仿宋_GB2312" w:cs="仿宋_GB2312"/>
          <w:color w:val="auto"/>
          <w:kern w:val="2"/>
          <w:sz w:val="32"/>
          <w:szCs w:val="32"/>
          <w:highlight w:val="none"/>
          <w:lang w:val="en-US" w:eastAsia="zh-CN" w:bidi="ar-SA"/>
        </w:rPr>
        <w:t>34.26</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10.4</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本年度未安排因公出国（境）相关任务，无因公出国（境）经费支出；同时从严压减非必要外出公务活动，差旅费支出有所下降，综合导致机关运行经费同比减少。</w:t>
      </w:r>
    </w:p>
    <w:p w14:paraId="5DEF0614">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63" w:name="_Toc15377223"/>
      <w:r>
        <w:rPr>
          <w:rFonts w:hint="eastAsia" w:ascii="Times New Roman" w:hAnsi="Times New Roman" w:eastAsia="楷体_GB2312" w:cs="楷体_GB2312"/>
          <w:b/>
          <w:color w:val="auto"/>
          <w:sz w:val="32"/>
          <w:szCs w:val="32"/>
          <w:highlight w:val="none"/>
        </w:rPr>
        <w:t>（二）政府采购支出情况</w:t>
      </w:r>
      <w:bookmarkEnd w:id="63"/>
    </w:p>
    <w:p w14:paraId="68680DA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九三学社四川省委员会</w:t>
      </w:r>
      <w:r>
        <w:rPr>
          <w:rFonts w:hint="eastAsia" w:ascii="Times New Roman" w:hAnsi="Times New Roman" w:eastAsia="仿宋_GB2312" w:cs="仿宋_GB2312"/>
          <w:color w:val="auto"/>
          <w:kern w:val="2"/>
          <w:sz w:val="32"/>
          <w:szCs w:val="32"/>
          <w:highlight w:val="none"/>
          <w:lang w:val="en-US" w:eastAsia="zh-CN" w:bidi="ar-SA"/>
        </w:rPr>
        <w:t>政府采购支出总额</w:t>
      </w:r>
      <w:r>
        <w:rPr>
          <w:rFonts w:hint="eastAsia" w:eastAsia="仿宋_GB2312" w:cs="仿宋_GB2312"/>
          <w:color w:val="auto"/>
          <w:kern w:val="2"/>
          <w:sz w:val="32"/>
          <w:szCs w:val="32"/>
          <w:highlight w:val="none"/>
          <w:lang w:val="en-US" w:eastAsia="zh-CN" w:bidi="ar-SA"/>
        </w:rPr>
        <w:t>4.96</w:t>
      </w:r>
      <w:r>
        <w:rPr>
          <w:rFonts w:hint="eastAsia" w:ascii="Times New Roman" w:hAnsi="Times New Roman" w:eastAsia="仿宋_GB2312" w:cs="仿宋_GB2312"/>
          <w:color w:val="auto"/>
          <w:kern w:val="2"/>
          <w:sz w:val="32"/>
          <w:szCs w:val="32"/>
          <w:highlight w:val="none"/>
          <w:lang w:val="en-US" w:eastAsia="zh-CN" w:bidi="ar-SA"/>
        </w:rPr>
        <w:t>万元，其中：政府采购货物支出</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万元、政府采购工程支出</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万元、政府采购服务支出</w:t>
      </w:r>
      <w:r>
        <w:rPr>
          <w:rFonts w:hint="eastAsia" w:eastAsia="仿宋_GB2312" w:cs="仿宋_GB2312"/>
          <w:color w:val="auto"/>
          <w:kern w:val="2"/>
          <w:sz w:val="32"/>
          <w:szCs w:val="32"/>
          <w:highlight w:val="none"/>
          <w:lang w:val="en-US" w:eastAsia="zh-CN" w:bidi="ar-SA"/>
        </w:rPr>
        <w:t>4.96</w:t>
      </w:r>
      <w:r>
        <w:rPr>
          <w:rFonts w:hint="eastAsia" w:ascii="Times New Roman" w:hAnsi="Times New Roman" w:eastAsia="仿宋_GB2312" w:cs="仿宋_GB2312"/>
          <w:color w:val="auto"/>
          <w:kern w:val="2"/>
          <w:sz w:val="32"/>
          <w:szCs w:val="32"/>
          <w:highlight w:val="none"/>
          <w:lang w:val="en-US" w:eastAsia="zh-CN" w:bidi="ar-SA"/>
        </w:rPr>
        <w:t>万元。主要用于</w:t>
      </w:r>
      <w:r>
        <w:rPr>
          <w:rFonts w:hint="eastAsia" w:eastAsia="仿宋_GB2312" w:cs="仿宋_GB2312"/>
          <w:color w:val="auto"/>
          <w:kern w:val="2"/>
          <w:sz w:val="32"/>
          <w:szCs w:val="32"/>
          <w:highlight w:val="none"/>
          <w:lang w:val="en-US" w:eastAsia="zh-CN" w:bidi="ar-SA"/>
        </w:rPr>
        <w:t>公务用车加油、保险及维修</w:t>
      </w:r>
      <w:r>
        <w:rPr>
          <w:rFonts w:hint="eastAsia" w:ascii="Times New Roman" w:hAnsi="Times New Roman" w:eastAsia="仿宋_GB2312" w:cs="仿宋_GB2312"/>
          <w:color w:val="auto"/>
          <w:kern w:val="2"/>
          <w:sz w:val="32"/>
          <w:szCs w:val="32"/>
          <w:highlight w:val="none"/>
          <w:lang w:val="en-US" w:eastAsia="zh-CN" w:bidi="ar-SA"/>
        </w:rPr>
        <w:t>。授予中小企业合同金额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万元，占政府采购支出总额的</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p>
    <w:p w14:paraId="369A1410">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64" w:name="_Toc15377224"/>
      <w:r>
        <w:rPr>
          <w:rFonts w:hint="eastAsia" w:ascii="Times New Roman" w:hAnsi="Times New Roman" w:eastAsia="楷体_GB2312" w:cs="楷体_GB2312"/>
          <w:b/>
          <w:color w:val="auto"/>
          <w:sz w:val="32"/>
          <w:szCs w:val="32"/>
          <w:highlight w:val="none"/>
        </w:rPr>
        <w:t>（三）国有资产占有使用情况</w:t>
      </w:r>
      <w:bookmarkEnd w:id="64"/>
    </w:p>
    <w:p w14:paraId="3AFC4DC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截至202</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年12月31日，</w:t>
      </w:r>
      <w:r>
        <w:rPr>
          <w:rFonts w:hint="eastAsia" w:eastAsia="仿宋_GB2312" w:cs="仿宋_GB2312"/>
          <w:color w:val="auto"/>
          <w:kern w:val="2"/>
          <w:sz w:val="32"/>
          <w:szCs w:val="32"/>
          <w:highlight w:val="none"/>
          <w:lang w:val="en-US" w:eastAsia="zh-CN" w:bidi="ar-SA"/>
        </w:rPr>
        <w:t>九三学社四川省委员会</w:t>
      </w:r>
      <w:r>
        <w:rPr>
          <w:rFonts w:hint="eastAsia" w:ascii="Times New Roman" w:hAnsi="Times New Roman" w:eastAsia="仿宋_GB2312" w:cs="仿宋_GB2312"/>
          <w:color w:val="auto"/>
          <w:kern w:val="2"/>
          <w:sz w:val="32"/>
          <w:szCs w:val="32"/>
          <w:highlight w:val="none"/>
          <w:lang w:val="en-US" w:eastAsia="zh-CN" w:bidi="ar-SA"/>
        </w:rPr>
        <w:t>共有车辆</w:t>
      </w: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辆，其中：机要通信用车</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辆、应急保障用车</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辆、其他用车</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辆，其他用车主要是用于离退休干部服务用车和实物保障用车</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单价100万元</w:t>
      </w:r>
      <w:r>
        <w:rPr>
          <w:rFonts w:hint="eastAsia" w:eastAsia="仿宋_GB2312" w:cs="仿宋_GB2312"/>
          <w:color w:val="auto"/>
          <w:kern w:val="2"/>
          <w:sz w:val="32"/>
          <w:szCs w:val="32"/>
          <w:highlight w:val="none"/>
          <w:lang w:val="en-US" w:eastAsia="zh-CN" w:bidi="ar-SA"/>
        </w:rPr>
        <w:t>（含）</w:t>
      </w:r>
      <w:r>
        <w:rPr>
          <w:rFonts w:hint="eastAsia" w:ascii="Times New Roman" w:hAnsi="Times New Roman" w:eastAsia="仿宋_GB2312" w:cs="仿宋_GB2312"/>
          <w:color w:val="auto"/>
          <w:kern w:val="2"/>
          <w:sz w:val="32"/>
          <w:szCs w:val="32"/>
          <w:highlight w:val="none"/>
          <w:lang w:val="en-US" w:eastAsia="zh-CN" w:bidi="ar-SA"/>
        </w:rPr>
        <w:t>以上设备（不含车辆）</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台（套）。</w:t>
      </w:r>
    </w:p>
    <w:p w14:paraId="7AD1E9A4">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3E9737D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根据预算绩效管理要求，</w:t>
      </w:r>
      <w:r>
        <w:rPr>
          <w:rFonts w:hint="eastAsia" w:eastAsia="仿宋_GB2312" w:cs="仿宋_GB2312"/>
          <w:color w:val="auto"/>
          <w:kern w:val="2"/>
          <w:sz w:val="32"/>
          <w:szCs w:val="32"/>
          <w:highlight w:val="none"/>
          <w:lang w:val="en-US" w:eastAsia="zh-CN" w:bidi="ar-SA"/>
        </w:rPr>
        <w:t>九三学社四川省委员会</w:t>
      </w:r>
      <w:r>
        <w:rPr>
          <w:rFonts w:hint="eastAsia" w:ascii="Times New Roman" w:hAnsi="Times New Roman" w:eastAsia="仿宋_GB2312" w:cs="仿宋_GB2312"/>
          <w:color w:val="auto"/>
          <w:kern w:val="2"/>
          <w:sz w:val="32"/>
          <w:szCs w:val="32"/>
          <w:highlight w:val="none"/>
          <w:lang w:val="en-US" w:eastAsia="zh-CN" w:bidi="ar-SA"/>
        </w:rPr>
        <w:t>在2025年度，组织对</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个项目涉及金额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万元开展了事前绩效评估，对</w:t>
      </w: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个项目编制了绩效目标，预算执行过程中，选取</w:t>
      </w: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个项目开展绩效监控。</w:t>
      </w:r>
    </w:p>
    <w:p w14:paraId="6119BF9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组织对2025年度一般公共预算、政府性基金预算、国有资本经营预算、社会保险基金预算以及资本资产、债券资金等全面开展绩效自评，形成</w:t>
      </w:r>
      <w:r>
        <w:rPr>
          <w:rFonts w:hint="eastAsia" w:eastAsia="仿宋_GB2312" w:cs="仿宋_GB2312"/>
          <w:color w:val="auto"/>
          <w:kern w:val="2"/>
          <w:sz w:val="32"/>
          <w:szCs w:val="32"/>
          <w:highlight w:val="none"/>
          <w:lang w:val="en-US" w:eastAsia="zh-CN" w:bidi="ar-SA"/>
        </w:rPr>
        <w:t>九三学社四川省委员会</w:t>
      </w:r>
      <w:r>
        <w:rPr>
          <w:rFonts w:hint="eastAsia" w:ascii="Times New Roman" w:hAnsi="Times New Roman" w:eastAsia="仿宋_GB2312" w:cs="仿宋_GB2312"/>
          <w:color w:val="auto"/>
          <w:kern w:val="2"/>
          <w:sz w:val="32"/>
          <w:szCs w:val="32"/>
          <w:highlight w:val="none"/>
          <w:lang w:val="en-US" w:eastAsia="zh-CN" w:bidi="ar-SA"/>
        </w:rPr>
        <w:t>部门预算（含部门预算项目）绩效自评报告</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其中，</w:t>
      </w:r>
      <w:r>
        <w:rPr>
          <w:rFonts w:hint="eastAsia" w:eastAsia="仿宋_GB2312" w:cs="仿宋_GB2312"/>
          <w:color w:val="auto"/>
          <w:kern w:val="2"/>
          <w:sz w:val="32"/>
          <w:szCs w:val="32"/>
          <w:highlight w:val="none"/>
          <w:lang w:val="en-US" w:eastAsia="zh-CN" w:bidi="ar-SA"/>
        </w:rPr>
        <w:t>九三学社四川省委员会</w:t>
      </w:r>
      <w:r>
        <w:rPr>
          <w:rFonts w:hint="eastAsia" w:ascii="Times New Roman" w:hAnsi="Times New Roman" w:eastAsia="仿宋_GB2312" w:cs="仿宋_GB2312"/>
          <w:color w:val="auto"/>
          <w:kern w:val="2"/>
          <w:sz w:val="32"/>
          <w:szCs w:val="32"/>
          <w:highlight w:val="none"/>
          <w:lang w:val="en-US" w:eastAsia="zh-CN" w:bidi="ar-SA"/>
        </w:rPr>
        <w:t>部门预算（含部门预算项目）绩效自评得分为</w:t>
      </w:r>
      <w:r>
        <w:rPr>
          <w:rFonts w:hint="eastAsia" w:eastAsia="仿宋_GB2312" w:cs="仿宋_GB2312"/>
          <w:color w:val="auto"/>
          <w:kern w:val="2"/>
          <w:sz w:val="32"/>
          <w:szCs w:val="32"/>
          <w:highlight w:val="none"/>
          <w:lang w:val="en-US" w:eastAsia="zh-CN" w:bidi="ar-SA"/>
        </w:rPr>
        <w:t>91.6</w:t>
      </w:r>
      <w:r>
        <w:rPr>
          <w:rFonts w:hint="eastAsia" w:ascii="Times New Roman" w:hAnsi="Times New Roman" w:eastAsia="仿宋_GB2312" w:cs="仿宋_GB2312"/>
          <w:color w:val="auto"/>
          <w:kern w:val="2"/>
          <w:sz w:val="32"/>
          <w:szCs w:val="32"/>
          <w:highlight w:val="none"/>
          <w:lang w:val="en-US" w:eastAsia="zh-CN" w:bidi="ar-SA"/>
        </w:rPr>
        <w:t>分，绩效自评综述</w:t>
      </w:r>
      <w:r>
        <w:rPr>
          <w:rFonts w:hint="eastAsia" w:eastAsia="仿宋_GB2312" w:cs="仿宋_GB2312"/>
          <w:color w:val="auto"/>
          <w:kern w:val="2"/>
          <w:sz w:val="32"/>
          <w:szCs w:val="32"/>
          <w:highlight w:val="none"/>
          <w:lang w:val="en-US" w:eastAsia="zh-CN" w:bidi="ar-SA"/>
        </w:rPr>
        <w:t>：2025 年度，本部门严格按照预算批复组织实施各项工作，强化预算执行管理，规范资金使用，财政资金总体执行到位。各项业务工作有序推进，较好完成年度既定工作目标，政策、项目效益基本实现。自评过程严格对照绩效指标开展评价，综合反映年度预算产出、效益情况</w:t>
      </w:r>
      <w:r>
        <w:rPr>
          <w:rFonts w:hint="eastAsia" w:ascii="Times New Roman" w:hAnsi="Times New Roman" w:eastAsia="仿宋_GB2312" w:cs="仿宋_GB2312"/>
          <w:color w:val="auto"/>
          <w:kern w:val="2"/>
          <w:sz w:val="32"/>
          <w:szCs w:val="32"/>
          <w:highlight w:val="none"/>
          <w:lang w:val="en-US" w:eastAsia="zh-CN" w:bidi="ar-SA"/>
        </w:rPr>
        <w:t>。绩效自评报告详见附件。</w:t>
      </w:r>
    </w:p>
    <w:p w14:paraId="366B1B5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7BC32EBE">
      <w:pPr>
        <w:numPr>
          <w:ilvl w:val="0"/>
          <w:numId w:val="0"/>
        </w:numPr>
        <w:spacing w:line="600" w:lineRule="exact"/>
        <w:jc w:val="center"/>
        <w:outlineLvl w:val="0"/>
        <w:rPr>
          <w:rFonts w:hint="eastAsia" w:ascii="Times New Roman" w:hAnsi="Times New Roman" w:eastAsia="黑体"/>
          <w:color w:val="auto"/>
          <w:sz w:val="44"/>
          <w:szCs w:val="44"/>
          <w:highlight w:val="none"/>
        </w:rPr>
        <w:sectPr>
          <w:footerReference r:id="rId5" w:type="default"/>
          <w:pgSz w:w="11906" w:h="16838"/>
          <w:pgMar w:top="1440" w:right="1800" w:bottom="1440" w:left="1800" w:header="851" w:footer="992" w:gutter="0"/>
          <w:pgNumType w:fmt="decimal" w:start="1"/>
          <w:cols w:space="425" w:num="1"/>
          <w:docGrid w:type="lines" w:linePitch="312" w:charSpace="0"/>
        </w:sectPr>
      </w:pPr>
      <w:bookmarkStart w:id="65" w:name="_Toc15396613"/>
      <w:bookmarkStart w:id="66" w:name="_Toc15377225"/>
    </w:p>
    <w:p w14:paraId="66B41207">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67" w:name="_Toc31927"/>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65"/>
      <w:bookmarkEnd w:id="66"/>
      <w:bookmarkEnd w:id="67"/>
    </w:p>
    <w:p w14:paraId="277C7A95">
      <w:pPr>
        <w:spacing w:line="600" w:lineRule="exact"/>
        <w:jc w:val="left"/>
        <w:rPr>
          <w:rFonts w:ascii="Times New Roman" w:hAnsi="Times New Roman"/>
          <w:b/>
          <w:color w:val="auto"/>
          <w:sz w:val="44"/>
          <w:szCs w:val="44"/>
          <w:highlight w:val="none"/>
        </w:rPr>
      </w:pPr>
    </w:p>
    <w:p w14:paraId="6B8B549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1.财政拨款收入：指单位从同级财政部门取得的财政预算资金。</w:t>
      </w:r>
    </w:p>
    <w:p w14:paraId="4C3B5911">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.一般公共服务（类）民主党派及工商联事务（款）行政运行（项）：指:反映行政单位（包括实行公务员管理的事业单位）的基本支出</w:t>
      </w:r>
      <w:r>
        <w:rPr>
          <w:rFonts w:hint="eastAsia" w:eastAsia="仿宋_GB2312" w:cs="仿宋_GB2312"/>
          <w:color w:val="auto"/>
          <w:kern w:val="2"/>
          <w:sz w:val="32"/>
          <w:szCs w:val="32"/>
          <w:highlight w:val="none"/>
          <w:lang w:val="en-US" w:eastAsia="zh-CN" w:bidi="ar-SA"/>
        </w:rPr>
        <w:t>。</w:t>
      </w:r>
    </w:p>
    <w:p w14:paraId="5401346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.一般公共服务（类）民主党派及工商联事务（款）</w:t>
      </w:r>
      <w:r>
        <w:rPr>
          <w:rFonts w:hint="eastAsia" w:eastAsia="仿宋_GB2312" w:cs="仿宋_GB2312"/>
          <w:color w:val="auto"/>
          <w:kern w:val="2"/>
          <w:sz w:val="32"/>
          <w:szCs w:val="32"/>
          <w:highlight w:val="none"/>
          <w:lang w:val="en-US" w:eastAsia="zh-CN" w:bidi="ar-SA"/>
        </w:rPr>
        <w:t>参政议政</w:t>
      </w:r>
      <w:r>
        <w:rPr>
          <w:rFonts w:hint="eastAsia" w:ascii="Times New Roman" w:hAnsi="Times New Roman" w:eastAsia="仿宋_GB2312" w:cs="仿宋_GB2312"/>
          <w:color w:val="auto"/>
          <w:kern w:val="2"/>
          <w:sz w:val="32"/>
          <w:szCs w:val="32"/>
          <w:highlight w:val="none"/>
          <w:lang w:val="en-US" w:eastAsia="zh-CN" w:bidi="ar-SA"/>
        </w:rPr>
        <w:t>（项）：指各民主党派为参政议政进行的调研、会议、检查等方面的支出。</w:t>
      </w:r>
    </w:p>
    <w:p w14:paraId="6F5D649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.社会保障和就业（类）行政事业单位养老支出（款）行政单位离退休（项）：指未实现归口管理的行政单位开支的离退休经费。</w:t>
      </w:r>
    </w:p>
    <w:p w14:paraId="0D3FD15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社会保障和就业（类）行政事业单位养老支出（款）机关事业单位基本养老保险缴费支出（项）：指行政事业单位开支的基本养老保险经费单位支出部分。</w:t>
      </w:r>
    </w:p>
    <w:p w14:paraId="2FF00643">
      <w:pPr>
        <w:pStyle w:val="13"/>
        <w:rPr>
          <w:rFonts w:hint="eastAsia"/>
          <w:lang w:val="en-US" w:eastAsia="zh-CN"/>
        </w:rPr>
      </w:pPr>
    </w:p>
    <w:p w14:paraId="1DDEF66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6.卫生健康（类）行政事业单位医疗（款）行政单位医疗（项）：指财政部门集中安排的行政单位基本医疗保险缴费，未参加医疗保险的行政单位的公费医疗经费，按国家规定享受离休人员、红军老战士待遇人员的医疗经费。</w:t>
      </w:r>
    </w:p>
    <w:p w14:paraId="147C54B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7.卫生健康（类）行政事业单位医疗（款）公务员医疗补助（项）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指财政部门集中安排的公务员医疗补助经费。</w:t>
      </w:r>
    </w:p>
    <w:p w14:paraId="2B0625C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8</w:t>
      </w:r>
      <w:r>
        <w:rPr>
          <w:rFonts w:hint="eastAsia" w:ascii="Times New Roman" w:hAnsi="Times New Roman" w:eastAsia="仿宋_GB2312" w:cs="仿宋_GB2312"/>
          <w:color w:val="auto"/>
          <w:kern w:val="2"/>
          <w:sz w:val="32"/>
          <w:szCs w:val="32"/>
          <w:highlight w:val="none"/>
          <w:lang w:val="en-US" w:eastAsia="zh-CN" w:bidi="ar-SA"/>
        </w:rPr>
        <w:t>.住房保障（类）住房改革支出（款）</w:t>
      </w:r>
      <w:r>
        <w:rPr>
          <w:rFonts w:hint="eastAsia" w:eastAsia="仿宋_GB2312" w:cs="仿宋_GB2312"/>
          <w:color w:val="auto"/>
          <w:kern w:val="2"/>
          <w:sz w:val="32"/>
          <w:szCs w:val="32"/>
          <w:highlight w:val="none"/>
          <w:lang w:val="en-US" w:eastAsia="zh-CN" w:bidi="ar-SA"/>
        </w:rPr>
        <w:t>住房公积金</w:t>
      </w:r>
      <w:r>
        <w:rPr>
          <w:rFonts w:hint="eastAsia" w:ascii="Times New Roman" w:hAnsi="Times New Roman" w:eastAsia="仿宋_GB2312" w:cs="仿宋_GB2312"/>
          <w:color w:val="auto"/>
          <w:kern w:val="2"/>
          <w:sz w:val="32"/>
          <w:szCs w:val="32"/>
          <w:highlight w:val="none"/>
          <w:lang w:val="en-US" w:eastAsia="zh-CN" w:bidi="ar-SA"/>
        </w:rPr>
        <w:t>（项）：指行政事业单位按人力资源和社会保障部、财政部规定的基本工资和津贴补贴以及规定比例为职工缴纳的住房公积金。</w:t>
      </w:r>
    </w:p>
    <w:p w14:paraId="6D85976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9</w:t>
      </w:r>
      <w:r>
        <w:rPr>
          <w:rFonts w:hint="eastAsia" w:ascii="Times New Roman" w:hAnsi="Times New Roman" w:eastAsia="仿宋_GB2312" w:cs="仿宋_GB2312"/>
          <w:color w:val="auto"/>
          <w:kern w:val="2"/>
          <w:sz w:val="32"/>
          <w:szCs w:val="32"/>
          <w:highlight w:val="none"/>
          <w:lang w:val="en-US" w:eastAsia="zh-CN" w:bidi="ar-SA"/>
        </w:rPr>
        <w:t>.基本支出：指为保障机构正常运转、完成日常工作任务而发生的人员支出和公用支出。</w:t>
      </w:r>
    </w:p>
    <w:p w14:paraId="59DD0EF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10</w:t>
      </w:r>
      <w:r>
        <w:rPr>
          <w:rFonts w:hint="eastAsia" w:ascii="Times New Roman" w:hAnsi="Times New Roman" w:eastAsia="仿宋_GB2312" w:cs="仿宋_GB2312"/>
          <w:color w:val="auto"/>
          <w:kern w:val="2"/>
          <w:sz w:val="32"/>
          <w:szCs w:val="32"/>
          <w:highlight w:val="none"/>
          <w:lang w:val="en-US" w:eastAsia="zh-CN" w:bidi="ar-SA"/>
        </w:rPr>
        <w:t xml:space="preserve">.项目支出：指在基本支出之外为完成特定行政任务和事业发展目标所发生的支出。 </w:t>
      </w:r>
    </w:p>
    <w:p w14:paraId="037077B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11</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三公</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DDCB5C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12</w:t>
      </w:r>
      <w:r>
        <w:rPr>
          <w:rFonts w:hint="eastAsia" w:ascii="Times New Roman" w:hAnsi="Times New Roman" w:eastAsia="仿宋_GB2312" w:cs="仿宋_GB2312"/>
          <w:color w:val="auto"/>
          <w:kern w:val="2"/>
          <w:sz w:val="32"/>
          <w:szCs w:val="32"/>
          <w:highlight w:val="none"/>
          <w:lang w:val="en-US" w:eastAsia="zh-CN" w:bidi="ar-SA"/>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D14C999">
      <w:pPr>
        <w:spacing w:line="600" w:lineRule="exact"/>
        <w:jc w:val="center"/>
        <w:outlineLvl w:val="0"/>
        <w:rPr>
          <w:rStyle w:val="28"/>
          <w:rFonts w:hint="eastAsia" w:ascii="Times New Roman" w:hAnsi="Times New Roman" w:eastAsia="黑体"/>
          <w:b w:val="0"/>
          <w:color w:val="auto"/>
          <w:highlight w:val="none"/>
          <w:lang w:eastAsia="zh-CN"/>
        </w:rPr>
      </w:pPr>
      <w:bookmarkStart w:id="68" w:name="_Toc15377226"/>
      <w:r>
        <w:rPr>
          <w:rFonts w:hint="eastAsia" w:ascii="Times New Roman" w:hAnsi="Times New Roman" w:eastAsia="仿宋_GB2312" w:cs="仿宋_GB2312"/>
          <w:color w:val="auto"/>
          <w:kern w:val="2"/>
          <w:sz w:val="32"/>
          <w:szCs w:val="32"/>
          <w:highlight w:val="none"/>
          <w:lang w:val="en-US" w:eastAsia="zh-CN" w:bidi="ar-SA"/>
        </w:rPr>
        <w:br w:type="page"/>
      </w:r>
      <w:bookmarkStart w:id="69" w:name="_Toc17599"/>
      <w:bookmarkStart w:id="70" w:name="_Toc15396614"/>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69"/>
      <w:bookmarkEnd w:id="70"/>
    </w:p>
    <w:p w14:paraId="141E2D68">
      <w:pPr>
        <w:keepNext w:val="0"/>
        <w:keepLines w:val="0"/>
        <w:pageBreakBefore w:val="0"/>
        <w:kinsoku/>
        <w:wordWrap/>
        <w:overflowPunct/>
        <w:topLinePunct w:val="0"/>
        <w:autoSpaceDE/>
        <w:autoSpaceDN/>
        <w:bidi w:val="0"/>
        <w:spacing w:line="572" w:lineRule="exact"/>
        <w:jc w:val="left"/>
        <w:textAlignment w:val="auto"/>
        <w:outlineLvl w:val="9"/>
        <w:rPr>
          <w:rFonts w:hint="eastAsia" w:ascii="Times New Roman" w:hAnsi="Times New Roman" w:eastAsia="黑体" w:cs="黑体"/>
          <w:color w:val="FF0000"/>
          <w:sz w:val="32"/>
          <w:szCs w:val="32"/>
          <w:highlight w:val="none"/>
        </w:rPr>
      </w:pPr>
    </w:p>
    <w:p w14:paraId="73FAD451">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lang w:eastAsia="zh-CN"/>
        </w:rPr>
      </w:pPr>
      <w:r>
        <w:rPr>
          <w:rFonts w:hint="default" w:ascii="Times New Roman" w:hAnsi="Times New Roman" w:eastAsia="方正小标宋简体" w:cs="Times New Roman"/>
          <w:b w:val="0"/>
          <w:bCs/>
          <w:sz w:val="44"/>
          <w:szCs w:val="44"/>
          <w:highlight w:val="none"/>
          <w:shd w:val="clear" w:color="auto" w:fill="FFFFFF"/>
        </w:rPr>
        <w:t>九三学社四川省委员会部门</w:t>
      </w:r>
      <w:r>
        <w:rPr>
          <w:rFonts w:hint="default" w:ascii="Times New Roman" w:hAnsi="Times New Roman" w:eastAsia="方正小标宋简体" w:cs="Times New Roman"/>
          <w:b w:val="0"/>
          <w:bCs/>
          <w:sz w:val="44"/>
          <w:szCs w:val="44"/>
          <w:highlight w:val="none"/>
          <w:shd w:val="clear" w:color="auto" w:fill="FFFFFF"/>
          <w:lang w:eastAsia="zh-CN"/>
        </w:rPr>
        <w:t>预算</w:t>
      </w:r>
    </w:p>
    <w:p w14:paraId="1E1B73C6">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r>
        <w:rPr>
          <w:rFonts w:hint="default"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r>
        <w:rPr>
          <w:rFonts w:hint="default" w:ascii="Times New Roman" w:hAnsi="Times New Roman" w:eastAsia="方正小标宋简体" w:cs="Times New Roman"/>
          <w:b w:val="0"/>
          <w:bCs/>
          <w:sz w:val="44"/>
          <w:szCs w:val="44"/>
          <w:highlight w:val="none"/>
          <w:shd w:val="clear" w:color="auto" w:fill="FFFFFF"/>
        </w:rPr>
        <w:t>报告</w:t>
      </w:r>
    </w:p>
    <w:p w14:paraId="026C4EAC">
      <w:pPr>
        <w:keepNext w:val="0"/>
        <w:keepLines w:val="0"/>
        <w:pageBreakBefore w:val="0"/>
        <w:widowControl/>
        <w:kinsoku/>
        <w:wordWrap/>
        <w:overflowPunct/>
        <w:topLinePunct w:val="0"/>
        <w:autoSpaceDE/>
        <w:autoSpaceDN/>
        <w:bidi w:val="0"/>
        <w:adjustRightInd w:val="0"/>
        <w:snapToGrid w:val="0"/>
        <w:spacing w:line="578" w:lineRule="exact"/>
        <w:ind w:firstLine="480" w:firstLineChars="200"/>
        <w:contextualSpacing/>
        <w:jc w:val="left"/>
        <w:textAlignment w:val="auto"/>
        <w:outlineLvl w:val="9"/>
        <w:rPr>
          <w:rFonts w:hint="default" w:ascii="Times New Roman" w:hAnsi="Times New Roman" w:eastAsia="黑体" w:cs="Times New Roman"/>
          <w:color w:val="000000"/>
          <w:kern w:val="0"/>
          <w:sz w:val="24"/>
          <w:szCs w:val="32"/>
          <w:highlight w:val="none"/>
          <w:shd w:val="clear" w:color="auto" w:fill="FFFFFF"/>
        </w:rPr>
      </w:pPr>
    </w:p>
    <w:p w14:paraId="4E4FF967">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rPr>
      </w:pPr>
      <w:r>
        <w:rPr>
          <w:rFonts w:hint="eastAsia" w:ascii="Times New Roman" w:hAnsi="Times New Roman" w:eastAsia="黑体" w:cs="Times New Roman"/>
          <w:color w:val="000000"/>
          <w:kern w:val="0"/>
          <w:sz w:val="32"/>
          <w:szCs w:val="32"/>
          <w:highlight w:val="none"/>
          <w:shd w:val="clear" w:color="auto" w:fill="FFFFFF"/>
          <w:lang w:val="zh-CN"/>
        </w:rPr>
        <w:t>一、</w:t>
      </w:r>
      <w:r>
        <w:rPr>
          <w:rFonts w:hint="default" w:ascii="Times New Roman" w:hAnsi="Times New Roman" w:eastAsia="黑体" w:cs="Times New Roman"/>
          <w:color w:val="000000"/>
          <w:kern w:val="0"/>
          <w:sz w:val="32"/>
          <w:szCs w:val="32"/>
          <w:highlight w:val="none"/>
          <w:shd w:val="clear" w:color="auto" w:fill="FFFFFF"/>
          <w:lang w:val="zh-CN"/>
        </w:rPr>
        <w:t>部门（单位）基本情况</w:t>
      </w:r>
    </w:p>
    <w:p w14:paraId="3167BE41">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楷体_GB2312" w:cs="楷体_GB2312"/>
          <w:b/>
          <w:color w:val="auto"/>
          <w:sz w:val="32"/>
          <w:szCs w:val="32"/>
          <w:highlight w:val="none"/>
          <w:lang w:val="zh-CN"/>
        </w:rPr>
      </w:pPr>
      <w:r>
        <w:rPr>
          <w:rFonts w:hint="eastAsia" w:ascii="Times New Roman" w:hAnsi="Times New Roman" w:eastAsia="楷体_GB2312" w:cs="楷体_GB2312"/>
          <w:b/>
          <w:color w:val="auto"/>
          <w:sz w:val="32"/>
          <w:szCs w:val="32"/>
          <w:highlight w:val="none"/>
          <w:lang w:val="zh-CN"/>
        </w:rPr>
        <w:t>（一）</w:t>
      </w:r>
      <w:r>
        <w:rPr>
          <w:rFonts w:hint="default" w:ascii="Times New Roman" w:hAnsi="Times New Roman" w:eastAsia="楷体_GB2312" w:cs="楷体_GB2312"/>
          <w:b/>
          <w:color w:val="auto"/>
          <w:sz w:val="32"/>
          <w:szCs w:val="32"/>
          <w:highlight w:val="none"/>
          <w:lang w:val="zh-CN"/>
        </w:rPr>
        <w:t>机构组成。</w:t>
      </w:r>
    </w:p>
    <w:p w14:paraId="563DC4CD">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cs="Times New Roman"/>
          <w:szCs w:val="32"/>
        </w:rPr>
      </w:pPr>
      <w:r>
        <w:rPr>
          <w:rFonts w:hint="eastAsia" w:ascii="Times New Roman" w:hAnsi="Times New Roman" w:eastAsia="仿宋_GB2312" w:cs="仿宋_GB2312"/>
          <w:color w:val="auto"/>
          <w:kern w:val="2"/>
          <w:sz w:val="32"/>
          <w:szCs w:val="32"/>
          <w:highlight w:val="none"/>
          <w:lang w:val="en-US" w:eastAsia="zh-CN" w:bidi="ar-SA"/>
        </w:rPr>
        <w:t>九三学社四川省委员会系省财政一级预算部门，本部门下属二级预算行政单位1个，即九三学社四川省委员会机关。九三学社四川省委员会机关内设处室5个，分别是办公室、组织处、宣传处、参政议政处、科技工作处。</w:t>
      </w:r>
    </w:p>
    <w:p w14:paraId="620A8EC3">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Times New Roman" w:hAnsi="Times New Roman" w:eastAsia="楷体_GB2312" w:cs="楷体_GB2312"/>
          <w:b/>
          <w:color w:val="auto"/>
          <w:sz w:val="32"/>
          <w:szCs w:val="32"/>
          <w:highlight w:val="none"/>
          <w:lang w:val="zh-CN"/>
        </w:rPr>
      </w:pPr>
      <w:r>
        <w:rPr>
          <w:rFonts w:hint="default" w:ascii="Times New Roman" w:hAnsi="Times New Roman" w:eastAsia="楷体_GB2312" w:cs="楷体_GB2312"/>
          <w:b/>
          <w:color w:val="auto"/>
          <w:sz w:val="32"/>
          <w:szCs w:val="32"/>
          <w:highlight w:val="none"/>
          <w:lang w:val="zh-CN"/>
        </w:rPr>
        <w:t>（二）机构职能</w:t>
      </w:r>
      <w:r>
        <w:rPr>
          <w:rFonts w:hint="eastAsia" w:ascii="Times New Roman" w:hAnsi="Times New Roman" w:eastAsia="楷体_GB2312" w:cs="楷体_GB2312"/>
          <w:b/>
          <w:color w:val="auto"/>
          <w:sz w:val="32"/>
          <w:szCs w:val="32"/>
          <w:highlight w:val="none"/>
          <w:lang w:val="zh-CN"/>
        </w:rPr>
        <w:t>。</w:t>
      </w:r>
    </w:p>
    <w:p w14:paraId="26DD3259">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楷体_GB2312" w:cs="Times New Roman"/>
          <w:b/>
          <w:bCs/>
          <w:color w:val="000000"/>
          <w:kern w:val="0"/>
          <w:szCs w:val="32"/>
          <w:highlight w:val="none"/>
          <w:shd w:val="clear" w:color="auto" w:fill="FFFFFF"/>
          <w:lang w:val="zh-CN"/>
        </w:rPr>
      </w:pPr>
      <w:r>
        <w:rPr>
          <w:rFonts w:hint="eastAsia" w:ascii="Times New Roman" w:hAnsi="Times New Roman" w:eastAsia="仿宋_GB2312" w:cs="仿宋_GB2312"/>
          <w:color w:val="auto"/>
          <w:kern w:val="2"/>
          <w:sz w:val="32"/>
          <w:szCs w:val="32"/>
          <w:highlight w:val="none"/>
          <w:lang w:val="en-US" w:eastAsia="zh-CN" w:bidi="ar-SA"/>
        </w:rPr>
        <w:t>九三学社四川省委员会系民主党派省级组织，主要职能为：民主监督、参政议政、参加中国共产党领导的政治协商</w:t>
      </w:r>
      <w:r>
        <w:rPr>
          <w:rFonts w:hint="eastAsia" w:ascii="Times New Roman" w:hAnsi="Times New Roman" w:eastAsia="仿宋_GB2312" w:cs="Times New Roman"/>
          <w:sz w:val="32"/>
          <w:szCs w:val="32"/>
          <w:lang w:val="en-US" w:eastAsia="zh-CN"/>
        </w:rPr>
        <w:t>。</w:t>
      </w:r>
    </w:p>
    <w:p w14:paraId="51AFF90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）人员概况</w:t>
      </w:r>
      <w:r>
        <w:rPr>
          <w:rFonts w:hint="eastAsia" w:ascii="Times New Roman" w:hAnsi="Times New Roman" w:eastAsia="楷体_GB2312" w:cs="Times New Roman"/>
          <w:b/>
          <w:bCs/>
          <w:color w:val="000000"/>
          <w:kern w:val="0"/>
          <w:sz w:val="32"/>
          <w:szCs w:val="32"/>
          <w:highlight w:val="none"/>
          <w:shd w:val="clear" w:color="auto" w:fill="FFFFFF"/>
          <w:lang w:val="zh-CN"/>
        </w:rPr>
        <w:t>。</w:t>
      </w:r>
    </w:p>
    <w:p w14:paraId="0668DDB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cs="Times New Roman"/>
          <w:szCs w:val="32"/>
        </w:rPr>
      </w:pPr>
      <w:r>
        <w:rPr>
          <w:rFonts w:hint="default" w:ascii="Times New Roman" w:hAnsi="Times New Roman" w:eastAsia="仿宋_GB2312" w:cs="Times New Roman"/>
          <w:sz w:val="32"/>
          <w:szCs w:val="32"/>
          <w:lang w:val="en-US" w:eastAsia="zh-CN"/>
        </w:rPr>
        <w:t>截至2025年末，九三学社四川省委员会部门核定编制人数32人，其中，行政编制30人，事业编制2名。年末实有在编人员28人，其中：行政人员27人；机关和事业工人1人</w:t>
      </w:r>
      <w:r>
        <w:rPr>
          <w:rFonts w:hint="eastAsia" w:ascii="Times New Roman" w:hAnsi="Times New Roman" w:eastAsia="仿宋_GB2312" w:cs="Times New Roman"/>
          <w:sz w:val="32"/>
          <w:szCs w:val="32"/>
          <w:lang w:val="en-US" w:eastAsia="zh-CN"/>
        </w:rPr>
        <w:t>。</w:t>
      </w:r>
    </w:p>
    <w:p w14:paraId="5E40D802">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r>
        <w:rPr>
          <w:rFonts w:hint="default" w:ascii="Times New Roman" w:hAnsi="Times New Roman" w:eastAsia="黑体" w:cs="Times New Roman"/>
          <w:color w:val="000000"/>
          <w:kern w:val="0"/>
          <w:sz w:val="32"/>
          <w:szCs w:val="32"/>
          <w:highlight w:val="none"/>
          <w:shd w:val="clear" w:color="auto" w:fill="FFFFFF"/>
          <w:lang w:val="zh-CN" w:eastAsia="zh-CN"/>
        </w:rPr>
        <w:t>二、部门资金收支情况</w:t>
      </w:r>
    </w:p>
    <w:p w14:paraId="5A890988">
      <w:pPr>
        <w:keepNext w:val="0"/>
        <w:keepLines w:val="0"/>
        <w:pageBreakBefore w:val="0"/>
        <w:widowControl w:val="0"/>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收入情况</w:t>
      </w:r>
      <w:r>
        <w:rPr>
          <w:rFonts w:hint="default" w:ascii="Times New Roman" w:hAnsi="Times New Roman" w:eastAsia="楷体_GB2312" w:cs="Times New Roman"/>
          <w:b/>
          <w:bCs/>
          <w:color w:val="000000"/>
          <w:kern w:val="0"/>
          <w:sz w:val="32"/>
          <w:szCs w:val="32"/>
          <w:highlight w:val="none"/>
          <w:shd w:val="clear" w:color="auto" w:fill="FFFFFF"/>
          <w:lang w:val="zh-CN"/>
        </w:rPr>
        <w:t>。</w:t>
      </w:r>
    </w:p>
    <w:p w14:paraId="24022864">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楷体_GB2312" w:cs="Times New Roman"/>
          <w:b/>
          <w:bCs/>
          <w:color w:val="000000"/>
          <w:kern w:val="0"/>
          <w:szCs w:val="32"/>
          <w:highlight w:val="none"/>
          <w:shd w:val="clear" w:color="auto" w:fill="FFFFFF"/>
          <w:lang w:val="en-US"/>
        </w:rPr>
      </w:pPr>
      <w:r>
        <w:rPr>
          <w:rFonts w:hint="eastAsia" w:ascii="Times New Roman" w:hAnsi="Times New Roman" w:eastAsia="仿宋_GB2312" w:cs="仿宋_GB2312"/>
          <w:color w:val="auto"/>
          <w:kern w:val="2"/>
          <w:sz w:val="32"/>
          <w:szCs w:val="32"/>
          <w:highlight w:val="none"/>
          <w:lang w:val="en-US" w:eastAsia="zh-CN" w:bidi="ar-SA"/>
        </w:rPr>
        <w:t>九三学社四川省委员会2025年年初预算收入1381.75万元，均为一般公共预算财政拨款收入；决算报表收入总计1397.38万元，均为一般公共预算财政拨款收入。</w:t>
      </w:r>
    </w:p>
    <w:p w14:paraId="37761D8E">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二</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支出情况</w:t>
      </w:r>
      <w:r>
        <w:rPr>
          <w:rFonts w:hint="default" w:ascii="Times New Roman" w:hAnsi="Times New Roman" w:eastAsia="楷体_GB2312" w:cs="Times New Roman"/>
          <w:b/>
          <w:bCs/>
          <w:color w:val="000000"/>
          <w:kern w:val="0"/>
          <w:sz w:val="32"/>
          <w:szCs w:val="32"/>
          <w:highlight w:val="none"/>
          <w:shd w:val="clear" w:color="auto" w:fill="FFFFFF"/>
          <w:lang w:val="zh-CN"/>
        </w:rPr>
        <w:t>。</w:t>
      </w:r>
    </w:p>
    <w:p w14:paraId="674F80C6">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cs="Times New Roman"/>
          <w:szCs w:val="32"/>
          <w:lang w:val="zh-CN" w:eastAsia="zh-CN"/>
        </w:rPr>
      </w:pPr>
      <w:r>
        <w:rPr>
          <w:rFonts w:hint="eastAsia" w:ascii="Times New Roman" w:hAnsi="Times New Roman" w:eastAsia="仿宋_GB2312" w:cs="仿宋_GB2312"/>
          <w:color w:val="auto"/>
          <w:kern w:val="2"/>
          <w:sz w:val="32"/>
          <w:szCs w:val="32"/>
          <w:highlight w:val="none"/>
          <w:lang w:val="en-US" w:eastAsia="zh-CN" w:bidi="ar-SA"/>
        </w:rPr>
        <w:t>九三学社四川省委员会2025年年初预算1381.75万元，其中：其中：基本支出1160.66万元（人员经费829.11万元、日常公用经费331.55万元），项目支出221.09万元；决算报表支出1397.38万元，其中：基本支出1176.74万元（人员经费882.15万元、日常公用经费294.59万元），项目支出220.64万元。</w:t>
      </w:r>
    </w:p>
    <w:p w14:paraId="2968C0A4">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仿宋_GB2312" w:cs="Times New Roman"/>
          <w:b w:val="0"/>
          <w:bCs w:val="0"/>
          <w:color w:val="000000"/>
          <w:kern w:val="0"/>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）结余分配和结转结余情况</w:t>
      </w:r>
      <w:r>
        <w:rPr>
          <w:rFonts w:hint="eastAsia"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ascii="Times New Roman" w:hAnsi="Times New Roman" w:eastAsia="仿宋_GB2312" w:cs="仿宋_GB2312"/>
          <w:color w:val="auto"/>
          <w:kern w:val="2"/>
          <w:sz w:val="32"/>
          <w:szCs w:val="32"/>
          <w:highlight w:val="none"/>
          <w:lang w:val="en-US" w:eastAsia="zh-CN" w:bidi="ar-SA"/>
        </w:rPr>
        <w:t>九三学社四川省委员会2025年决算报表决算收入1397.38万元，决算支出1397.38万元，年末无结转结余。</w:t>
      </w:r>
    </w:p>
    <w:p w14:paraId="5E85B433">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r>
        <w:rPr>
          <w:rFonts w:hint="default" w:ascii="Times New Roman" w:hAnsi="Times New Roman" w:eastAsia="黑体" w:cs="Times New Roman"/>
          <w:color w:val="000000"/>
          <w:kern w:val="0"/>
          <w:sz w:val="32"/>
          <w:szCs w:val="32"/>
          <w:highlight w:val="none"/>
          <w:shd w:val="clear" w:color="auto" w:fill="FFFFFF"/>
          <w:lang w:val="zh-CN" w:eastAsia="zh-CN"/>
        </w:rPr>
        <w:t>三、部门预算绩效分析</w:t>
      </w:r>
    </w:p>
    <w:p w14:paraId="529A5DBE">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仿宋_GB2312" w:cs="仿宋_GB2312"/>
          <w:color w:val="auto"/>
          <w:kern w:val="2"/>
          <w:sz w:val="32"/>
          <w:szCs w:val="32"/>
          <w:highlight w:val="none"/>
          <w:lang w:val="zh-CN"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部门预算</w:t>
      </w:r>
      <w:r>
        <w:rPr>
          <w:rFonts w:hint="default" w:ascii="Times New Roman" w:hAnsi="Times New Roman" w:eastAsia="楷体_GB2312" w:cs="Times New Roman"/>
          <w:b/>
          <w:bCs/>
          <w:color w:val="000000"/>
          <w:kern w:val="0"/>
          <w:sz w:val="32"/>
          <w:szCs w:val="32"/>
          <w:highlight w:val="none"/>
          <w:shd w:val="clear" w:color="auto" w:fill="FFFFFF"/>
          <w:lang w:val="zh-CN"/>
        </w:rPr>
        <w:t>总体绩效分析。</w:t>
      </w:r>
    </w:p>
    <w:p w14:paraId="005859B3">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1.履职效能。</w:t>
      </w:r>
    </w:p>
    <w:p w14:paraId="02888844">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（1）报送省两会集体提案数采用率。2025年绩效目标报送省两会集体提案数采用率为≥80%，实际完成率为85%，得分为5分。</w:t>
      </w:r>
    </w:p>
    <w:p w14:paraId="4C34359A">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（2）社员主体界别率。2025年绩效目标社员主体界别率≥70%，实际值为80.4%。得分为4分。</w:t>
      </w:r>
    </w:p>
    <w:p w14:paraId="3DEBEF34">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（3）发展新社员人数。2025年绩效目标发展新社员人数≥450人，实际完成值为505人。得分为3分。</w:t>
      </w:r>
    </w:p>
    <w:p w14:paraId="7F4B4E57">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（4）报送省两会集体提案数：2025年绩效目标报送省两会集体提案数≥18件，实际完成为21件。得分为3分。</w:t>
      </w:r>
    </w:p>
    <w:p w14:paraId="4C4A8858">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2.预算管理。</w:t>
      </w:r>
    </w:p>
    <w:p w14:paraId="27E01D03">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（1）预算编制质量。2025年度九三学社四川省委员会财政拨款年初预算1381.75万元、调整预算数1495.27万元，偏离度为8.2%；调整政府采购预算数6.75万元，年初政府采购预算数10.25万元，政府采购偏离度34.</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%；资产配置预算偏离度0%|。本项指标得分为6.99分。</w:t>
      </w:r>
    </w:p>
    <w:p w14:paraId="4969773B">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（2）单位收入统筹。2025年九三学社四川省委员会无自有收入及自有收入执行。该项指标得分为4分。</w:t>
      </w:r>
    </w:p>
    <w:p w14:paraId="2CA0D932">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支出执行管理。2025年九三学社四川省委员会1至6月预算执行数674.68万元，部门预算数1495.27万元，1至6月支出预警金额和支出违规金额均为0；1至10月预算执行数1192.59万元。部门预算数1495.27万元，1至10月无支出预警金额和支出违规金额，该项指标得分为5.71分。</w:t>
      </w:r>
    </w:p>
    <w:p w14:paraId="3ADCDFDD">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（4）预算年终结余。2025年九三学社四川省委员会当年年终预算注销金额为97.89万元，结转金额为0万元，预算结余率为6.</w:t>
      </w:r>
      <w:r>
        <w:rPr>
          <w:rFonts w:hint="eastAsia" w:eastAsia="仿宋_GB2312" w:cs="仿宋_GB2312"/>
          <w:color w:val="auto"/>
          <w:kern w:val="2"/>
          <w:sz w:val="32"/>
          <w:szCs w:val="32"/>
          <w:highlight w:val="none"/>
          <w:lang w:val="en-US" w:eastAsia="zh-CN" w:bidi="ar-SA"/>
        </w:rPr>
        <w:t>6</w:t>
      </w:r>
      <w:r>
        <w:rPr>
          <w:rFonts w:hint="eastAsia" w:ascii="Times New Roman" w:hAnsi="Times New Roman" w:eastAsia="仿宋_GB2312" w:cs="仿宋_GB2312"/>
          <w:color w:val="auto"/>
          <w:kern w:val="2"/>
          <w:sz w:val="32"/>
          <w:szCs w:val="32"/>
          <w:highlight w:val="none"/>
          <w:lang w:val="en-US" w:eastAsia="zh-CN" w:bidi="ar-SA"/>
        </w:rPr>
        <w:t>%。该项指标得分为1.87分。</w:t>
      </w:r>
    </w:p>
    <w:p w14:paraId="3AC9CFFB">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（5）严控一般性支出。2024年一般性预算为219.81万元，2025年一般性预算为211.52万元。比上年减少8.29万元，压减3.</w:t>
      </w:r>
      <w:r>
        <w:rPr>
          <w:rFonts w:hint="eastAsia" w:eastAsia="仿宋_GB2312" w:cs="仿宋_GB2312"/>
          <w:color w:val="auto"/>
          <w:kern w:val="2"/>
          <w:sz w:val="32"/>
          <w:szCs w:val="32"/>
          <w:highlight w:val="none"/>
          <w:lang w:val="en-US" w:eastAsia="zh-CN" w:bidi="ar-SA"/>
        </w:rPr>
        <w:t>8</w:t>
      </w:r>
      <w:r>
        <w:rPr>
          <w:rFonts w:hint="eastAsia" w:ascii="Times New Roman" w:hAnsi="Times New Roman" w:eastAsia="仿宋_GB2312" w:cs="仿宋_GB2312"/>
          <w:color w:val="auto"/>
          <w:kern w:val="2"/>
          <w:sz w:val="32"/>
          <w:szCs w:val="32"/>
          <w:highlight w:val="none"/>
          <w:lang w:val="en-US" w:eastAsia="zh-CN" w:bidi="ar-SA"/>
        </w:rPr>
        <w:t>%，得2.75分。2024年一般性支出执行为210.09万元，2025年一般性支出执行为197.67万元。比上年减少12.42万元，压减5.9%，得2分。本项指标合计得分4.75分。</w:t>
      </w:r>
    </w:p>
    <w:p w14:paraId="09238DAD">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3.财务管理。</w:t>
      </w:r>
    </w:p>
    <w:p w14:paraId="6FAB768B">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财务管理制度。2025年九三学社四川省委员会按照《行政事业单位内部控制规范（试行）》（财会〔2012〕21号）和《四川省财政厅关于印发〈四川省省级行政事业单位内部控制建设指引〉的通知》（川财会〔2019〕37号）的要求编制了内控制度，对单位内部财务管理制度进行了规范。从每年开展的内控制度评价情况，以及历年内审和绩效评价结果来看，相关财务管理制度得到了有效地执行。该项指标得分4分。</w:t>
      </w:r>
    </w:p>
    <w:p w14:paraId="7A67DF44">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2）财务岗位设置。根据《九三学社四川省委员会内部控制管理手册》，设置财务工作岗位3人，分别是出纳、会计和财务负责人，按照不相容岗位相分离的原则，对收款与会计核算、支出申请与审批、支出审批与付款、业务经办与会计核算等不相容岗位予以分离，并明确了相关职责权限。该项指标得分2分。  </w:t>
      </w:r>
    </w:p>
    <w:p w14:paraId="08B3A17E">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（3）资金使用规范。九三学社四川省委员会按照财政预算批复的资金使用资金，未发现违反财务管理制度规定的情况。该项指标得分4分。</w:t>
      </w:r>
    </w:p>
    <w:p w14:paraId="627601E8">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4.资产管理。</w:t>
      </w:r>
    </w:p>
    <w:p w14:paraId="78E7A147">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人均资产变化率。九三学社四川省委员会2025年资产净值为104.29万元，年末实有人数为28人，人均占有资产3.72万元；2024年资产净值为100.28万元，2024年年末实有人数为30人，2024年人均占有资产3.34万元，部门2025年人均资产变化率为11.</w:t>
      </w: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%，大于省级单位人均资产变化率2.</w:t>
      </w:r>
      <w:r>
        <w:rPr>
          <w:rFonts w:hint="eastAsia" w:eastAsia="仿宋_GB2312" w:cs="仿宋_GB2312"/>
          <w:color w:val="auto"/>
          <w:kern w:val="2"/>
          <w:sz w:val="32"/>
          <w:szCs w:val="32"/>
          <w:highlight w:val="none"/>
          <w:lang w:val="en-US" w:eastAsia="zh-CN" w:bidi="ar-SA"/>
        </w:rPr>
        <w:t>9</w:t>
      </w:r>
      <w:r>
        <w:rPr>
          <w:rFonts w:hint="eastAsia" w:ascii="Times New Roman" w:hAnsi="Times New Roman" w:eastAsia="仿宋_GB2312" w:cs="仿宋_GB2312"/>
          <w:color w:val="auto"/>
          <w:kern w:val="2"/>
          <w:sz w:val="32"/>
          <w:szCs w:val="32"/>
          <w:highlight w:val="none"/>
          <w:lang w:val="en-US" w:eastAsia="zh-CN" w:bidi="ar-SA"/>
        </w:rPr>
        <w:t>%，本项指标不得分。</w:t>
      </w:r>
    </w:p>
    <w:p w14:paraId="5A9D8EF4">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资产利用率。九三学社四川省委员会2025年超最低使用年限的办公家具账面价值2.4万元，办公家具账面价值26.4万元，办公家具超最低使用年限资产利用率为9%。省直行政事业单位平均值为省直部门办公家具超最低使用年限资产利用率为17.</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则：9%≤0.6×17.16%，得0.3分。超最低使用年限的办公设备账面价值46.82万元，办公设备账面价值175.21万元，部门办公设备超最低使用年限资产利用率26.7%。省直行政事业单位平均值44.55%为，则：0.6×44.55%＜26.7%≤0.8×44.55%，得0.6分。本项指标合计得分0.9分。</w:t>
      </w:r>
    </w:p>
    <w:p w14:paraId="7D762727">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（3）资产盘活率。九三学社四川省委员会2024年、2025年无闲置资产，该项指标得分3分。</w:t>
      </w:r>
    </w:p>
    <w:p w14:paraId="0544BB4E">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5.采购管理。</w:t>
      </w:r>
    </w:p>
    <w:p w14:paraId="1B216EB0">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支持中小企业发展。九三学社四川省委员会2025年涉及政府采购的事项主要是公务车运行维护费，包括公车加油、维修和保险，其中公务车维修适宜面向中小企业采购。在编制政府采购预算时，对公务车维修服务明确面向中小企业采购，但未制定本部门面向中小企业预留采购份额具体方案。该项目指标得分2分。</w:t>
      </w:r>
    </w:p>
    <w:p w14:paraId="64131C3D">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（2）采购执行率。2025年度，九三学社四川省委员会采购预算6.75万元，当年实际支付4.96万元，当年已完成采购项目节约金额为0.5万元，故该项指标得分2.38分。</w:t>
      </w:r>
    </w:p>
    <w:p w14:paraId="0402DD99">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3" w:firstLineChars="200"/>
        <w:contextualSpacing/>
        <w:jc w:val="both"/>
        <w:textAlignment w:val="auto"/>
        <w:outlineLvl w:val="9"/>
        <w:rPr>
          <w:rFonts w:hint="default"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rPr>
        <w:t>（二）部门预算项目绩效分析。</w:t>
      </w:r>
    </w:p>
    <w:p w14:paraId="1576F7E3">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Times New Roman" w:hAnsi="Times New Roman" w:eastAsia="仿宋_GB2312" w:cs="仿宋_GB2312"/>
          <w:color w:val="auto"/>
          <w:kern w:val="2"/>
          <w:sz w:val="32"/>
          <w:szCs w:val="32"/>
          <w:highlight w:val="none"/>
          <w:lang w:val="zh-CN" w:eastAsia="zh-CN" w:bidi="ar-SA"/>
        </w:rPr>
      </w:pPr>
      <w:r>
        <w:rPr>
          <w:rFonts w:hint="default" w:ascii="Times New Roman" w:hAnsi="Times New Roman" w:eastAsia="仿宋_GB2312" w:cs="仿宋_GB2312"/>
          <w:color w:val="auto"/>
          <w:kern w:val="2"/>
          <w:sz w:val="32"/>
          <w:szCs w:val="32"/>
          <w:highlight w:val="none"/>
          <w:lang w:val="en-US" w:eastAsia="zh-CN" w:bidi="ar-SA"/>
        </w:rPr>
        <w:t>常年项目绩效分析。</w:t>
      </w:r>
      <w:r>
        <w:rPr>
          <w:rFonts w:hint="default" w:ascii="Times New Roman" w:hAnsi="Times New Roman" w:eastAsia="仿宋_GB2312" w:cs="仿宋_GB2312"/>
          <w:color w:val="auto"/>
          <w:kern w:val="2"/>
          <w:sz w:val="32"/>
          <w:szCs w:val="32"/>
          <w:highlight w:val="none"/>
          <w:lang w:val="zh-CN" w:eastAsia="zh-CN" w:bidi="ar-SA"/>
        </w:rPr>
        <w:t>该类项目总数</w:t>
      </w:r>
      <w:r>
        <w:rPr>
          <w:rFonts w:hint="eastAsia" w:eastAsia="仿宋_GB2312" w:cs="仿宋_GB2312"/>
          <w:color w:val="auto"/>
          <w:kern w:val="2"/>
          <w:sz w:val="32"/>
          <w:szCs w:val="32"/>
          <w:highlight w:val="none"/>
          <w:lang w:val="en-US" w:eastAsia="zh-CN" w:bidi="ar-SA"/>
        </w:rPr>
        <w:t>3</w:t>
      </w:r>
      <w:r>
        <w:rPr>
          <w:rFonts w:hint="default" w:ascii="Times New Roman" w:hAnsi="Times New Roman" w:eastAsia="仿宋_GB2312" w:cs="仿宋_GB2312"/>
          <w:color w:val="auto"/>
          <w:kern w:val="2"/>
          <w:sz w:val="32"/>
          <w:szCs w:val="32"/>
          <w:highlight w:val="none"/>
          <w:lang w:val="zh-CN" w:eastAsia="zh-CN" w:bidi="ar-SA"/>
        </w:rPr>
        <w:t>个，涉及预算总金额</w:t>
      </w:r>
      <w:r>
        <w:rPr>
          <w:rFonts w:hint="eastAsia" w:eastAsia="仿宋_GB2312" w:cs="仿宋_GB2312"/>
          <w:color w:val="auto"/>
          <w:kern w:val="2"/>
          <w:sz w:val="32"/>
          <w:szCs w:val="32"/>
          <w:highlight w:val="none"/>
          <w:lang w:val="en-US" w:eastAsia="zh-CN" w:bidi="ar-SA"/>
        </w:rPr>
        <w:t>221.09</w:t>
      </w:r>
      <w:r>
        <w:rPr>
          <w:rFonts w:hint="default" w:ascii="Times New Roman" w:hAnsi="Times New Roman" w:eastAsia="仿宋_GB2312" w:cs="仿宋_GB2312"/>
          <w:color w:val="auto"/>
          <w:kern w:val="2"/>
          <w:sz w:val="32"/>
          <w:szCs w:val="32"/>
          <w:highlight w:val="none"/>
          <w:lang w:val="zh-CN" w:eastAsia="zh-CN" w:bidi="ar-SA"/>
        </w:rPr>
        <w:t>万元，1</w:t>
      </w:r>
      <w:r>
        <w:rPr>
          <w:rFonts w:hint="eastAsia" w:ascii="Times New Roman" w:hAnsi="Times New Roman" w:eastAsia="仿宋_GB2312" w:cs="仿宋_GB2312"/>
          <w:color w:val="auto"/>
          <w:kern w:val="2"/>
          <w:sz w:val="32"/>
          <w:szCs w:val="32"/>
          <w:highlight w:val="none"/>
          <w:lang w:val="zh-CN" w:eastAsia="zh-CN" w:bidi="ar-SA"/>
        </w:rPr>
        <w:t>—</w:t>
      </w:r>
      <w:r>
        <w:rPr>
          <w:rFonts w:hint="default" w:ascii="Times New Roman" w:hAnsi="Times New Roman" w:eastAsia="仿宋_GB2312" w:cs="仿宋_GB2312"/>
          <w:color w:val="auto"/>
          <w:kern w:val="2"/>
          <w:sz w:val="32"/>
          <w:szCs w:val="32"/>
          <w:highlight w:val="none"/>
          <w:lang w:val="zh-CN" w:eastAsia="zh-CN" w:bidi="ar-SA"/>
        </w:rPr>
        <w:t>1</w:t>
      </w:r>
      <w:r>
        <w:rPr>
          <w:rFonts w:hint="default" w:ascii="Times New Roman" w:hAnsi="Times New Roman" w:eastAsia="仿宋_GB2312" w:cs="仿宋_GB2312"/>
          <w:color w:val="auto"/>
          <w:kern w:val="2"/>
          <w:sz w:val="32"/>
          <w:szCs w:val="32"/>
          <w:highlight w:val="none"/>
          <w:lang w:val="en-US" w:eastAsia="zh-CN" w:bidi="ar-SA"/>
        </w:rPr>
        <w:t>2</w:t>
      </w:r>
      <w:r>
        <w:rPr>
          <w:rFonts w:hint="default" w:ascii="Times New Roman" w:hAnsi="Times New Roman" w:eastAsia="仿宋_GB2312" w:cs="仿宋_GB2312"/>
          <w:color w:val="auto"/>
          <w:kern w:val="2"/>
          <w:sz w:val="32"/>
          <w:szCs w:val="32"/>
          <w:highlight w:val="none"/>
          <w:lang w:val="zh-CN" w:eastAsia="zh-CN" w:bidi="ar-SA"/>
        </w:rPr>
        <w:t>月预算执行总体进度为</w:t>
      </w:r>
      <w:r>
        <w:rPr>
          <w:rFonts w:hint="eastAsia" w:eastAsia="仿宋_GB2312" w:cs="仿宋_GB2312"/>
          <w:color w:val="auto"/>
          <w:kern w:val="2"/>
          <w:sz w:val="32"/>
          <w:szCs w:val="32"/>
          <w:highlight w:val="none"/>
          <w:lang w:val="en-US" w:eastAsia="zh-CN" w:bidi="ar-SA"/>
        </w:rPr>
        <w:t>99.8</w:t>
      </w:r>
      <w:r>
        <w:rPr>
          <w:rFonts w:hint="default" w:ascii="Times New Roman" w:hAnsi="Times New Roman" w:eastAsia="仿宋_GB2312" w:cs="仿宋_GB2312"/>
          <w:color w:val="auto"/>
          <w:kern w:val="2"/>
          <w:sz w:val="32"/>
          <w:szCs w:val="32"/>
          <w:highlight w:val="none"/>
          <w:lang w:val="zh-CN" w:eastAsia="zh-CN" w:bidi="ar-SA"/>
        </w:rPr>
        <w:t>%，其中：预算结余率大于</w:t>
      </w:r>
      <w:r>
        <w:rPr>
          <w:rFonts w:hint="default" w:ascii="Times New Roman" w:hAnsi="Times New Roman" w:eastAsia="仿宋_GB2312" w:cs="仿宋_GB2312"/>
          <w:color w:val="auto"/>
          <w:kern w:val="2"/>
          <w:sz w:val="32"/>
          <w:szCs w:val="32"/>
          <w:highlight w:val="none"/>
          <w:lang w:val="en-US" w:eastAsia="zh-CN" w:bidi="ar-SA"/>
        </w:rPr>
        <w:t>10%</w:t>
      </w:r>
      <w:r>
        <w:rPr>
          <w:rFonts w:hint="default" w:ascii="Times New Roman" w:hAnsi="Times New Roman" w:eastAsia="仿宋_GB2312" w:cs="仿宋_GB2312"/>
          <w:color w:val="auto"/>
          <w:kern w:val="2"/>
          <w:sz w:val="32"/>
          <w:szCs w:val="32"/>
          <w:highlight w:val="none"/>
          <w:lang w:val="zh-CN" w:eastAsia="zh-CN" w:bidi="ar-SA"/>
        </w:rPr>
        <w:t>的项目共计</w:t>
      </w:r>
      <w:r>
        <w:rPr>
          <w:rFonts w:hint="eastAsia" w:eastAsia="仿宋_GB2312" w:cs="仿宋_GB2312"/>
          <w:color w:val="auto"/>
          <w:kern w:val="2"/>
          <w:sz w:val="32"/>
          <w:szCs w:val="32"/>
          <w:highlight w:val="none"/>
          <w:lang w:val="en-US" w:eastAsia="zh-CN" w:bidi="ar-SA"/>
        </w:rPr>
        <w:t>0</w:t>
      </w:r>
      <w:r>
        <w:rPr>
          <w:rFonts w:hint="default" w:ascii="Times New Roman" w:hAnsi="Times New Roman" w:eastAsia="仿宋_GB2312" w:cs="仿宋_GB2312"/>
          <w:color w:val="auto"/>
          <w:kern w:val="2"/>
          <w:sz w:val="32"/>
          <w:szCs w:val="32"/>
          <w:highlight w:val="none"/>
          <w:lang w:val="zh-CN" w:eastAsia="zh-CN" w:bidi="ar-SA"/>
        </w:rPr>
        <w:t>个。</w:t>
      </w:r>
    </w:p>
    <w:p w14:paraId="3C60691E">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Times New Roman" w:hAnsi="Times New Roman" w:eastAsia="仿宋_GB2312" w:cs="仿宋_GB2312"/>
          <w:color w:val="auto"/>
          <w:kern w:val="2"/>
          <w:sz w:val="32"/>
          <w:szCs w:val="32"/>
          <w:highlight w:val="yellow"/>
          <w:lang w:val="zh-CN" w:eastAsia="zh-CN" w:bidi="ar-SA"/>
        </w:rPr>
      </w:pPr>
      <w:r>
        <w:rPr>
          <w:rFonts w:hint="default" w:ascii="Times New Roman" w:hAnsi="Times New Roman" w:eastAsia="仿宋_GB2312" w:cs="仿宋_GB2312"/>
          <w:color w:val="auto"/>
          <w:kern w:val="2"/>
          <w:sz w:val="32"/>
          <w:szCs w:val="32"/>
          <w:highlight w:val="none"/>
          <w:lang w:val="en-US" w:eastAsia="zh-CN" w:bidi="ar-SA"/>
        </w:rPr>
        <w:t>阶段</w:t>
      </w:r>
      <w:r>
        <w:rPr>
          <w:rFonts w:hint="eastAsia" w:ascii="Times New Roman" w:hAnsi="Times New Roman" w:eastAsia="仿宋_GB2312" w:cs="仿宋_GB2312"/>
          <w:color w:val="auto"/>
          <w:kern w:val="2"/>
          <w:sz w:val="32"/>
          <w:szCs w:val="32"/>
          <w:highlight w:val="none"/>
          <w:lang w:val="en-US" w:eastAsia="zh-CN" w:bidi="ar-SA"/>
        </w:rPr>
        <w:t>（</w:t>
      </w:r>
      <w:r>
        <w:rPr>
          <w:rFonts w:hint="default" w:ascii="Times New Roman" w:hAnsi="Times New Roman" w:eastAsia="仿宋_GB2312" w:cs="仿宋_GB2312"/>
          <w:color w:val="auto"/>
          <w:kern w:val="2"/>
          <w:sz w:val="32"/>
          <w:szCs w:val="32"/>
          <w:highlight w:val="none"/>
          <w:lang w:val="en-US" w:eastAsia="zh-CN" w:bidi="ar-SA"/>
        </w:rPr>
        <w:t>一次性</w:t>
      </w:r>
      <w:r>
        <w:rPr>
          <w:rFonts w:hint="eastAsia" w:ascii="Times New Roman" w:hAnsi="Times New Roman" w:eastAsia="仿宋_GB2312" w:cs="仿宋_GB2312"/>
          <w:color w:val="auto"/>
          <w:kern w:val="2"/>
          <w:sz w:val="32"/>
          <w:szCs w:val="32"/>
          <w:highlight w:val="none"/>
          <w:lang w:val="en-US" w:eastAsia="zh-CN" w:bidi="ar-SA"/>
        </w:rPr>
        <w:t>）</w:t>
      </w:r>
      <w:r>
        <w:rPr>
          <w:rFonts w:hint="default" w:ascii="Times New Roman" w:hAnsi="Times New Roman" w:eastAsia="仿宋_GB2312" w:cs="仿宋_GB2312"/>
          <w:color w:val="auto"/>
          <w:kern w:val="2"/>
          <w:sz w:val="32"/>
          <w:szCs w:val="32"/>
          <w:highlight w:val="none"/>
          <w:lang w:val="en-US" w:eastAsia="zh-CN" w:bidi="ar-SA"/>
        </w:rPr>
        <w:t>项目绩效分析。</w:t>
      </w:r>
      <w:r>
        <w:rPr>
          <w:rFonts w:hint="default" w:ascii="Times New Roman" w:hAnsi="Times New Roman" w:eastAsia="仿宋_GB2312" w:cs="仿宋_GB2312"/>
          <w:color w:val="auto"/>
          <w:kern w:val="2"/>
          <w:sz w:val="32"/>
          <w:szCs w:val="32"/>
          <w:highlight w:val="none"/>
          <w:lang w:val="zh-CN" w:eastAsia="zh-CN" w:bidi="ar-SA"/>
        </w:rPr>
        <w:t>该类项目总数</w:t>
      </w:r>
      <w:r>
        <w:rPr>
          <w:rFonts w:hint="eastAsia" w:eastAsia="仿宋_GB2312" w:cs="仿宋_GB2312"/>
          <w:color w:val="auto"/>
          <w:kern w:val="2"/>
          <w:sz w:val="32"/>
          <w:szCs w:val="32"/>
          <w:highlight w:val="none"/>
          <w:lang w:val="en-US" w:eastAsia="zh-CN" w:bidi="ar-SA"/>
        </w:rPr>
        <w:t>0</w:t>
      </w:r>
      <w:r>
        <w:rPr>
          <w:rFonts w:hint="default" w:ascii="Times New Roman" w:hAnsi="Times New Roman" w:eastAsia="仿宋_GB2312" w:cs="仿宋_GB2312"/>
          <w:color w:val="auto"/>
          <w:kern w:val="2"/>
          <w:sz w:val="32"/>
          <w:szCs w:val="32"/>
          <w:highlight w:val="none"/>
          <w:lang w:val="zh-CN" w:eastAsia="zh-CN" w:bidi="ar-SA"/>
        </w:rPr>
        <w:t>个。</w:t>
      </w:r>
    </w:p>
    <w:p w14:paraId="5F8099B0">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1.项目决策。</w:t>
      </w:r>
    </w:p>
    <w:p w14:paraId="08EDE630">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（1）决策程序。九三学社四川省委员会2025年无预算阶段项目，部门预算项目均履行事前绩效评估程序。该项指标得分4分。</w:t>
      </w:r>
    </w:p>
    <w:p w14:paraId="393FD54B">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（2）目标设置。九三学社四川省委员会2025年无预算阶段项目，该项指标得分4分。</w:t>
      </w:r>
    </w:p>
    <w:p w14:paraId="5499ABBA">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（3）项目入库。九三学社四川省委员会2025年无预算阶段项目，该项指标得分4分。</w:t>
      </w:r>
    </w:p>
    <w:p w14:paraId="0BFCC44D">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2.项目执行。</w:t>
      </w:r>
    </w:p>
    <w:p w14:paraId="313DAB45">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（1）执行同向。九三学社四川省委员会2025年无预算阶段项目，该项指标得分4分。</w:t>
      </w:r>
    </w:p>
    <w:p w14:paraId="62BFD8EB">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（2）项目调整。九三学社四川省委员会2025年无预算阶段项目，该项指标得分4分。</w:t>
      </w:r>
    </w:p>
    <w:p w14:paraId="1B8A9788">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（3）执行结果。九三学社四川省委员会2025年常年项目数为3个，预算结余率均小于10%，无部门预算一次性项目和阶段项目，该项指标得分4分。</w:t>
      </w:r>
    </w:p>
    <w:p w14:paraId="42408583">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2.目标实现。</w:t>
      </w:r>
    </w:p>
    <w:p w14:paraId="6F951028">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（1）目标完成。九三学社四川省委员会2025年无预算阶段项目，该项指标得分4分。</w:t>
      </w:r>
    </w:p>
    <w:p w14:paraId="4171A470">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（2）目标偏离。九三学社四川省委员会2025年预算项目均达到或超过了预期目标值，最大偏离度为10%，无偏离度超过30%的数量指标。故该项指标得分4分。</w:t>
      </w:r>
    </w:p>
    <w:p w14:paraId="66ADFCFB">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（3）实现效果。九三学社四川省委员会2025年无预算阶段项目，该项指标得分4分。</w:t>
      </w:r>
    </w:p>
    <w:p w14:paraId="45BC5980">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3" w:firstLineChars="200"/>
        <w:contextualSpacing/>
        <w:jc w:val="both"/>
        <w:textAlignment w:val="auto"/>
        <w:outlineLvl w:val="9"/>
        <w:rPr>
          <w:rFonts w:hint="eastAsia" w:ascii="Times New Roman" w:hAnsi="Times New Roman" w:eastAsia="楷体_GB2312" w:cs="Times New Roman"/>
          <w:b/>
          <w:bCs/>
          <w:color w:val="000000"/>
          <w:kern w:val="0"/>
          <w:sz w:val="32"/>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ascii="Times New Roman" w:hAnsi="Times New Roman" w:eastAsia="楷体_GB2312" w:cs="Times New Roman"/>
          <w:b/>
          <w:bCs/>
          <w:color w:val="000000"/>
          <w:kern w:val="0"/>
          <w:sz w:val="32"/>
          <w:szCs w:val="32"/>
          <w:highlight w:val="none"/>
          <w:shd w:val="clear" w:color="auto" w:fill="FFFFFF"/>
          <w:lang w:val="en-US" w:eastAsia="zh-CN"/>
        </w:rPr>
        <w:t>三</w:t>
      </w:r>
      <w:r>
        <w:rPr>
          <w:rFonts w:hint="default" w:ascii="Times New Roman" w:hAnsi="Times New Roman" w:eastAsia="楷体_GB2312" w:cs="Times New Roman"/>
          <w:b/>
          <w:bCs/>
          <w:color w:val="000000"/>
          <w:kern w:val="0"/>
          <w:sz w:val="32"/>
          <w:szCs w:val="32"/>
          <w:highlight w:val="none"/>
          <w:shd w:val="clear" w:color="auto" w:fill="FFFFFF"/>
          <w:lang w:val="zh-CN" w:eastAsia="zh-CN"/>
        </w:rPr>
        <w:t>）绩效结果应用情况</w:t>
      </w:r>
      <w:r>
        <w:rPr>
          <w:rFonts w:hint="eastAsia" w:ascii="Times New Roman" w:hAnsi="Times New Roman" w:eastAsia="楷体_GB2312" w:cs="Times New Roman"/>
          <w:b/>
          <w:bCs/>
          <w:color w:val="000000"/>
          <w:kern w:val="0"/>
          <w:sz w:val="32"/>
          <w:szCs w:val="32"/>
          <w:highlight w:val="none"/>
          <w:shd w:val="clear" w:color="auto" w:fill="FFFFFF"/>
          <w:lang w:val="zh-CN" w:eastAsia="zh-CN"/>
        </w:rPr>
        <w:t>。</w:t>
      </w:r>
    </w:p>
    <w:p w14:paraId="162E5E7D">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zh-CN" w:eastAsia="zh-CN" w:bidi="ar-SA"/>
        </w:rPr>
        <w:t>1.内部应用情况：为确保部门绩效和预算目标的一致性，提高部门的工作效率和绩效水平。九三学社四川省委员会根据《四川省省级财政预算绩效结果应用管理办法》（川财绩〔2019〕15号）和《四川省省级财政预算绩效结果与预算安排挂钩实施细则（试行）》（川财办〔2020〕53号）的相关要求，结合九三学社四川省委员会实际工作，积极推动部门内部绩效考核与工作经费挂钩机制，探索将成本效益分析方法运用在单位预算编制和绩效考核工作中。</w:t>
      </w:r>
    </w:p>
    <w:p w14:paraId="1BD0446A">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zh-CN" w:eastAsia="zh-CN" w:bidi="ar-SA"/>
        </w:rPr>
        <w:t>2.信息公开情况：2025年3月3日，九三学社四川省委员会已按照省财政厅的要求，在四川省财政厅网站公开了2025年部门预算和绩效目标。</w:t>
      </w:r>
    </w:p>
    <w:p w14:paraId="6751A513">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zh-CN" w:eastAsia="zh-CN" w:bidi="ar-SA"/>
        </w:rPr>
        <w:t>3.整改反馈情况：2025年度，九三学社四川省委员会对绩效运行监控反馈的问题，认真落实整改，并将整改情况及时报送财政厅。为加强绩效管理，部门召开全体职工培训会，讲解绩效相关知识，增强职工绩效意识，为下一步绩效管理工作奠定基础。</w:t>
      </w:r>
    </w:p>
    <w:p w14:paraId="50A9E036">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rPr>
      </w:pPr>
      <w:r>
        <w:rPr>
          <w:rFonts w:hint="default" w:ascii="Times New Roman" w:hAnsi="Times New Roman" w:eastAsia="黑体" w:cs="Times New Roman"/>
          <w:color w:val="000000"/>
          <w:kern w:val="0"/>
          <w:sz w:val="32"/>
          <w:szCs w:val="32"/>
          <w:highlight w:val="none"/>
          <w:shd w:val="clear" w:color="auto" w:fill="FFFFFF"/>
          <w:lang w:val="zh-CN" w:eastAsia="zh-CN"/>
        </w:rPr>
        <w:t>四、</w:t>
      </w:r>
      <w:r>
        <w:rPr>
          <w:rFonts w:hint="default" w:ascii="Times New Roman" w:hAnsi="Times New Roman" w:eastAsia="黑体" w:cs="Times New Roman"/>
          <w:color w:val="000000"/>
          <w:kern w:val="0"/>
          <w:sz w:val="32"/>
          <w:szCs w:val="32"/>
          <w:highlight w:val="none"/>
          <w:shd w:val="clear" w:color="auto" w:fill="FFFFFF"/>
          <w:lang w:val="zh-CN"/>
        </w:rPr>
        <w:t>评价结论及建议</w:t>
      </w:r>
    </w:p>
    <w:p w14:paraId="312F3948">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（一）评价结论。</w:t>
      </w:r>
    </w:p>
    <w:p w14:paraId="32B96D7E">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Times New Roman"/>
          <w:sz w:val="32"/>
          <w:szCs w:val="32"/>
          <w:u w:val="none"/>
          <w:lang w:val="en-US" w:eastAsia="zh-CN" w:bidi="ar"/>
        </w:rPr>
      </w:pPr>
      <w:r>
        <w:rPr>
          <w:rFonts w:hint="eastAsia" w:ascii="Times New Roman" w:hAnsi="Times New Roman" w:eastAsia="仿宋_GB2312" w:cs="Times New Roman"/>
          <w:sz w:val="32"/>
          <w:szCs w:val="32"/>
          <w:u w:val="none"/>
          <w:lang w:val="en-US" w:eastAsia="zh-CN" w:bidi="ar"/>
        </w:rPr>
        <w:t>本次部门预算绩效评价自评得分为91.6分。2025年度，九三学社四川省委员会认真贯彻《中共四川省委办公厅 四川省人民政府办公厅关于深入实施预算绩效管理的通知》（川委厅〔2022〕5号）和《四川省人民政府关于进一步深化预算管理制度改革的实施意见》（川府发〔2022〕4号）精神，按照绩效管理与预算管理一体化的要求，努力将绩效管理融入预算编制、预算执行、预算监督全过程。通过开展事前绩效评估，严格绩效目标管理，强化绩效运行监控，完善绩效自评机制，拓宽结果应用范围等方式，结合部门工作实际，聚焦构建以绩效为核心的财政资金管理机制，积极推进“全方位、全过程、全覆盖”和“1+N制度”预算绩效管理体系建设，落实预算管理和绩效管理的主体责任，牢固树立“过紧日子”意识，增强预算刚性约束，提高资产配置效率，圆满完成了各项目标任务。</w:t>
      </w:r>
    </w:p>
    <w:p w14:paraId="51F66BF9">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（二）存在问题。</w:t>
      </w:r>
    </w:p>
    <w:p w14:paraId="3C80314C">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Times New Roman" w:hAnsi="Times New Roman" w:eastAsia="仿宋_GB2312" w:cs="Times New Roman"/>
          <w:sz w:val="32"/>
          <w:szCs w:val="32"/>
          <w:u w:val="none"/>
          <w:lang w:val="en-US" w:eastAsia="zh-CN" w:bidi="ar"/>
        </w:rPr>
      </w:pPr>
      <w:r>
        <w:rPr>
          <w:rFonts w:hint="eastAsia" w:ascii="Times New Roman" w:hAnsi="Times New Roman" w:eastAsia="仿宋_GB2312" w:cs="Times New Roman"/>
          <w:b/>
          <w:bCs/>
          <w:sz w:val="32"/>
          <w:szCs w:val="32"/>
          <w:u w:val="none"/>
          <w:lang w:val="en-US" w:eastAsia="zh-CN" w:bidi="ar"/>
        </w:rPr>
        <w:t>支出执行进度有待加强</w:t>
      </w:r>
    </w:p>
    <w:p w14:paraId="7199A4F9">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sz w:val="32"/>
          <w:szCs w:val="32"/>
          <w:u w:val="none"/>
          <w:lang w:val="en-US" w:eastAsia="zh-CN" w:bidi="ar"/>
        </w:rPr>
      </w:pPr>
      <w:r>
        <w:rPr>
          <w:rFonts w:hint="eastAsia" w:ascii="Times New Roman" w:hAnsi="Times New Roman" w:eastAsia="仿宋_GB2312" w:cs="Times New Roman"/>
          <w:sz w:val="32"/>
          <w:szCs w:val="32"/>
          <w:u w:val="none"/>
          <w:lang w:val="en-US" w:eastAsia="zh-CN" w:bidi="ar"/>
        </w:rPr>
        <w:t>2025年九三学社四川省委员会1-6月预算执行数为674.68万元，部门预算数为1495.27万元，执行率为45.1%；1-10月预算执行数为1192.</w:t>
      </w:r>
      <w:r>
        <w:rPr>
          <w:rFonts w:hint="eastAsia" w:eastAsia="仿宋_GB2312" w:cs="Times New Roman"/>
          <w:sz w:val="32"/>
          <w:szCs w:val="32"/>
          <w:u w:val="none"/>
          <w:lang w:val="en-US" w:eastAsia="zh-CN" w:bidi="ar"/>
        </w:rPr>
        <w:t>6</w:t>
      </w:r>
      <w:r>
        <w:rPr>
          <w:rFonts w:hint="eastAsia" w:ascii="Times New Roman" w:hAnsi="Times New Roman" w:eastAsia="仿宋_GB2312" w:cs="Times New Roman"/>
          <w:sz w:val="32"/>
          <w:szCs w:val="32"/>
          <w:u w:val="none"/>
          <w:lang w:val="en-US" w:eastAsia="zh-CN" w:bidi="ar"/>
        </w:rPr>
        <w:t>万元，部门预算数为1495.27万元，执行率为79.</w:t>
      </w:r>
      <w:r>
        <w:rPr>
          <w:rFonts w:hint="eastAsia" w:eastAsia="仿宋_GB2312" w:cs="Times New Roman"/>
          <w:sz w:val="32"/>
          <w:szCs w:val="32"/>
          <w:u w:val="none"/>
          <w:lang w:val="en-US" w:eastAsia="zh-CN" w:bidi="ar"/>
        </w:rPr>
        <w:t>8</w:t>
      </w:r>
      <w:r>
        <w:rPr>
          <w:rFonts w:hint="eastAsia" w:ascii="Times New Roman" w:hAnsi="Times New Roman" w:eastAsia="仿宋_GB2312" w:cs="Times New Roman"/>
          <w:sz w:val="32"/>
          <w:szCs w:val="32"/>
          <w:u w:val="none"/>
          <w:lang w:val="en-US" w:eastAsia="zh-CN" w:bidi="ar"/>
        </w:rPr>
        <w:t>%。部门需科学合理安排预算支出。</w:t>
      </w:r>
    </w:p>
    <w:p w14:paraId="69F73BE5">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（三）改进建议。</w:t>
      </w:r>
    </w:p>
    <w:p w14:paraId="2FB45D53">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Times New Roman" w:hAnsi="Times New Roman" w:eastAsia="仿宋_GB2312" w:cs="Times New Roman"/>
          <w:sz w:val="32"/>
          <w:szCs w:val="32"/>
          <w:u w:val="none"/>
          <w:lang w:val="en" w:eastAsia="zh-CN" w:bidi="ar"/>
        </w:rPr>
      </w:pPr>
      <w:bookmarkStart w:id="71" w:name="_Hlk110546638"/>
      <w:r>
        <w:rPr>
          <w:rFonts w:hint="eastAsia" w:ascii="Times New Roman" w:hAnsi="Times New Roman" w:eastAsia="仿宋_GB2312" w:cs="Times New Roman"/>
          <w:b/>
          <w:bCs/>
          <w:sz w:val="32"/>
          <w:szCs w:val="32"/>
          <w:u w:val="none"/>
          <w:lang w:val="en-US" w:eastAsia="zh-CN" w:bidi="ar"/>
        </w:rPr>
        <w:t>加强预算支出执行进度</w:t>
      </w:r>
      <w:r>
        <w:rPr>
          <w:rFonts w:hint="eastAsia" w:eastAsia="仿宋_GB2312" w:cs="Times New Roman"/>
          <w:b/>
          <w:bCs/>
          <w:sz w:val="32"/>
          <w:szCs w:val="32"/>
          <w:u w:val="none"/>
          <w:lang w:val="en-US" w:eastAsia="zh-CN" w:bidi="ar"/>
        </w:rPr>
        <w:t>控制。</w:t>
      </w:r>
      <w:bookmarkStart w:id="100" w:name="_GoBack"/>
      <w:bookmarkEnd w:id="100"/>
      <w:r>
        <w:rPr>
          <w:rFonts w:hint="eastAsia" w:ascii="Times New Roman" w:hAnsi="Times New Roman" w:eastAsia="仿宋_GB2312" w:cs="Times New Roman"/>
          <w:sz w:val="32"/>
          <w:szCs w:val="32"/>
          <w:u w:val="none"/>
          <w:lang w:val="en-US" w:eastAsia="zh-CN" w:bidi="ar"/>
        </w:rPr>
        <w:t>年初预算下达后，部门可根据预算下达数，编制本部门的年度工作计划或项目实施方案。根据工作计划及项目的实施方案，有序推进项目执行。</w:t>
      </w:r>
    </w:p>
    <w:bookmarkEnd w:id="71"/>
    <w:p w14:paraId="07C34BA3">
      <w:pPr>
        <w:pStyle w:val="7"/>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u w:val="none"/>
          <w:lang w:val="en-US" w:eastAsia="zh-CN" w:bidi="ar"/>
        </w:rPr>
        <w:sectPr>
          <w:pgSz w:w="11906" w:h="16838"/>
          <w:pgMar w:top="1440" w:right="1800" w:bottom="1440" w:left="1800" w:header="851" w:footer="992" w:gutter="0"/>
          <w:pgNumType w:fmt="decimal"/>
          <w:cols w:space="425" w:num="1"/>
          <w:docGrid w:type="lines" w:linePitch="312" w:charSpace="0"/>
        </w:sectPr>
      </w:pPr>
      <w:r>
        <w:rPr>
          <w:rFonts w:hint="eastAsia" w:ascii="Times New Roman" w:hAnsi="Times New Roman" w:eastAsia="仿宋_GB2312" w:cs="Times New Roman"/>
          <w:kern w:val="2"/>
          <w:sz w:val="32"/>
          <w:szCs w:val="32"/>
          <w:u w:val="none"/>
          <w:lang w:val="zh-CN" w:eastAsia="zh-CN" w:bidi="ar"/>
        </w:rPr>
        <w:t>附表：</w:t>
      </w:r>
      <w:r>
        <w:rPr>
          <w:rFonts w:hint="eastAsia" w:ascii="Times New Roman" w:hAnsi="Times New Roman" w:eastAsia="仿宋_GB2312" w:cs="Times New Roman"/>
          <w:kern w:val="2"/>
          <w:sz w:val="32"/>
          <w:szCs w:val="32"/>
          <w:u w:val="none"/>
          <w:lang w:val="en-US" w:eastAsia="zh-CN" w:bidi="ar"/>
        </w:rPr>
        <w:t>部门预算项目支出绩效自评表（</w:t>
      </w:r>
      <w:r>
        <w:rPr>
          <w:rFonts w:hint="eastAsia" w:ascii="Times New Roman" w:eastAsia="仿宋_GB2312" w:cs="Times New Roman"/>
          <w:kern w:val="2"/>
          <w:sz w:val="32"/>
          <w:szCs w:val="32"/>
          <w:u w:val="none"/>
          <w:lang w:val="en-US" w:eastAsia="zh-CN" w:bidi="ar"/>
        </w:rPr>
        <w:t>2025年度</w:t>
      </w:r>
      <w:r>
        <w:rPr>
          <w:rFonts w:hint="eastAsia" w:ascii="Times New Roman" w:hAnsi="Times New Roman" w:eastAsia="仿宋_GB2312" w:cs="Times New Roman"/>
          <w:kern w:val="2"/>
          <w:sz w:val="32"/>
          <w:szCs w:val="32"/>
          <w:u w:val="none"/>
          <w:lang w:val="en-US" w:eastAsia="zh-CN" w:bidi="ar"/>
        </w:rPr>
        <w:t>）</w:t>
      </w:r>
    </w:p>
    <w:tbl>
      <w:tblPr>
        <w:tblStyle w:val="15"/>
        <w:tblW w:w="520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070"/>
        <w:gridCol w:w="894"/>
        <w:gridCol w:w="1187"/>
        <w:gridCol w:w="399"/>
        <w:gridCol w:w="842"/>
        <w:gridCol w:w="401"/>
        <w:gridCol w:w="785"/>
        <w:gridCol w:w="486"/>
        <w:gridCol w:w="417"/>
        <w:gridCol w:w="69"/>
        <w:gridCol w:w="1751"/>
      </w:tblGrid>
      <w:tr w14:paraId="6A123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9" w:hRule="atLeast"/>
        </w:trPr>
        <w:tc>
          <w:tcPr>
            <w:tcW w:w="5000"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0525E0BF">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2487F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838F4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项目名称</w:t>
            </w:r>
          </w:p>
        </w:tc>
        <w:tc>
          <w:tcPr>
            <w:tcW w:w="4072"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BBBC3E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Style w:val="36"/>
                <w:rFonts w:eastAsia="宋体"/>
                <w:lang w:val="en-US" w:eastAsia="zh-CN" w:bidi="ar"/>
              </w:rPr>
              <w:t>51000024Y000011154481-</w:t>
            </w:r>
            <w:r>
              <w:rPr>
                <w:rStyle w:val="35"/>
                <w:lang w:val="en-US" w:eastAsia="zh-CN" w:bidi="ar"/>
              </w:rPr>
              <w:t>承接中央、省委、省政府、省政协重大课题经费</w:t>
            </w:r>
          </w:p>
        </w:tc>
      </w:tr>
      <w:tr w14:paraId="687AF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9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98DDB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主管部门</w:t>
            </w:r>
          </w:p>
        </w:tc>
        <w:tc>
          <w:tcPr>
            <w:tcW w:w="209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9028F0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九三学社四川省委员会部门</w:t>
            </w:r>
          </w:p>
        </w:tc>
        <w:tc>
          <w:tcPr>
            <w:tcW w:w="950" w:type="pct"/>
            <w:gridSpan w:val="3"/>
            <w:tcBorders>
              <w:top w:val="nil"/>
              <w:left w:val="nil"/>
              <w:bottom w:val="nil"/>
              <w:right w:val="nil"/>
            </w:tcBorders>
            <w:shd w:val="clear" w:color="auto" w:fill="auto"/>
            <w:vAlign w:val="center"/>
          </w:tcPr>
          <w:p w14:paraId="3070699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实施单位</w:t>
            </w:r>
            <w:r>
              <w:rPr>
                <w:rStyle w:val="36"/>
                <w:rFonts w:eastAsia="宋体"/>
                <w:lang w:val="en-US" w:eastAsia="zh-CN" w:bidi="ar"/>
              </w:rPr>
              <w:t xml:space="preserve"> </w:t>
            </w:r>
            <w:r>
              <w:rPr>
                <w:rStyle w:val="35"/>
                <w:lang w:val="en-US" w:eastAsia="zh-CN" w:bidi="ar"/>
              </w:rPr>
              <w:t>（盖章）</w:t>
            </w:r>
          </w:p>
        </w:tc>
        <w:tc>
          <w:tcPr>
            <w:tcW w:w="10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C7488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九三学社四川省委</w:t>
            </w:r>
          </w:p>
        </w:tc>
      </w:tr>
      <w:tr w14:paraId="04A9F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24AE4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项目基本情况</w:t>
            </w:r>
          </w:p>
        </w:tc>
        <w:tc>
          <w:tcPr>
            <w:tcW w:w="60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5DACA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宋体" w:cs="Times New Roman"/>
                <w:i w:val="0"/>
                <w:iCs w:val="0"/>
                <w:color w:val="000000"/>
                <w:sz w:val="18"/>
                <w:szCs w:val="18"/>
                <w:u w:val="none"/>
              </w:rPr>
            </w:pPr>
            <w:r>
              <w:rPr>
                <w:rStyle w:val="36"/>
                <w:rFonts w:eastAsia="宋体"/>
                <w:lang w:val="en-US" w:eastAsia="zh-CN" w:bidi="ar"/>
              </w:rPr>
              <w:t>1.</w:t>
            </w:r>
            <w:r>
              <w:rPr>
                <w:rStyle w:val="35"/>
                <w:lang w:val="en-US" w:eastAsia="zh-CN" w:bidi="ar"/>
              </w:rPr>
              <w:t>项目年度目标完成情况</w:t>
            </w:r>
          </w:p>
        </w:tc>
        <w:tc>
          <w:tcPr>
            <w:tcW w:w="209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13ADA1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项目年度目标</w:t>
            </w:r>
          </w:p>
        </w:tc>
        <w:tc>
          <w:tcPr>
            <w:tcW w:w="197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45964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年度目标完成情况</w:t>
            </w:r>
          </w:p>
        </w:tc>
      </w:tr>
      <w:tr w14:paraId="50DFC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3" w:hRule="atLeast"/>
        </w:trPr>
        <w:tc>
          <w:tcPr>
            <w:tcW w:w="3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24689">
            <w:pPr>
              <w:rPr>
                <w:rFonts w:hint="default" w:ascii="Times New Roman" w:hAnsi="Times New Roman" w:eastAsia="宋体" w:cs="Times New Roman"/>
                <w:i w:val="0"/>
                <w:iCs w:val="0"/>
                <w:color w:val="000000"/>
                <w:sz w:val="18"/>
                <w:szCs w:val="18"/>
                <w:u w:val="none"/>
              </w:rPr>
            </w:pPr>
          </w:p>
        </w:tc>
        <w:tc>
          <w:tcPr>
            <w:tcW w:w="6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B684D5">
            <w:pPr>
              <w:keepNext w:val="0"/>
              <w:keepLines w:val="0"/>
              <w:pageBreakBefore w:val="0"/>
              <w:widowControl/>
              <w:kinsoku/>
              <w:wordWrap/>
              <w:overflowPunct/>
              <w:topLinePunct w:val="0"/>
              <w:autoSpaceDE/>
              <w:autoSpaceDN/>
              <w:bidi w:val="0"/>
              <w:adjustRightInd/>
              <w:snapToGrid/>
              <w:spacing w:line="280" w:lineRule="exact"/>
              <w:rPr>
                <w:rFonts w:hint="default" w:ascii="Times New Roman" w:hAnsi="Times New Roman" w:eastAsia="宋体" w:cs="Times New Roman"/>
                <w:i w:val="0"/>
                <w:iCs w:val="0"/>
                <w:color w:val="000000"/>
                <w:sz w:val="18"/>
                <w:szCs w:val="18"/>
                <w:u w:val="none"/>
              </w:rPr>
            </w:pPr>
          </w:p>
        </w:tc>
        <w:tc>
          <w:tcPr>
            <w:tcW w:w="209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0F1E62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围绕中央、省委、省政府、省政协的重点课题进行调研，充分发挥九三的智力优势，深入调研，提升履职能力，建言献策，服务本省建设。</w:t>
            </w:r>
          </w:p>
        </w:tc>
        <w:tc>
          <w:tcPr>
            <w:tcW w:w="197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99229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围绕中央、省委、省政府、省政协的重点课题进行调研，充分发挥九三的智力优势，深入调研，提升履职能力，建言献策，服务本省建设。</w:t>
            </w:r>
          </w:p>
        </w:tc>
      </w:tr>
      <w:tr w14:paraId="142C3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3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67B77C">
            <w:pPr>
              <w:rPr>
                <w:rFonts w:hint="default" w:ascii="Times New Roman" w:hAnsi="Times New Roman" w:eastAsia="宋体" w:cs="Times New Roman"/>
                <w:i w:val="0"/>
                <w:iCs w:val="0"/>
                <w:color w:val="000000"/>
                <w:sz w:val="18"/>
                <w:szCs w:val="18"/>
                <w:u w:val="none"/>
              </w:rPr>
            </w:pP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4905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宋体" w:cs="Times New Roman"/>
                <w:i w:val="0"/>
                <w:iCs w:val="0"/>
                <w:color w:val="000000"/>
                <w:sz w:val="18"/>
                <w:szCs w:val="18"/>
                <w:u w:val="none"/>
              </w:rPr>
            </w:pPr>
            <w:r>
              <w:rPr>
                <w:rStyle w:val="36"/>
                <w:rFonts w:eastAsia="宋体"/>
                <w:lang w:val="en-US" w:eastAsia="zh-CN" w:bidi="ar"/>
              </w:rPr>
              <w:t>2.</w:t>
            </w:r>
            <w:r>
              <w:rPr>
                <w:rStyle w:val="35"/>
                <w:lang w:val="en-US" w:eastAsia="zh-CN" w:bidi="ar"/>
              </w:rPr>
              <w:t>项目实施内容及过程概述</w:t>
            </w:r>
          </w:p>
        </w:tc>
        <w:tc>
          <w:tcPr>
            <w:tcW w:w="4072"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41CED1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项目按时间，计划征集课题，收集征文，评征文。</w:t>
            </w:r>
          </w:p>
        </w:tc>
      </w:tr>
      <w:tr w14:paraId="28B63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EE3E3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预算执行情况（</w:t>
            </w:r>
            <w:r>
              <w:rPr>
                <w:rStyle w:val="36"/>
                <w:rFonts w:eastAsia="宋体"/>
                <w:lang w:val="en-US" w:eastAsia="zh-CN" w:bidi="ar"/>
              </w:rPr>
              <w:t>10</w:t>
            </w:r>
            <w:r>
              <w:rPr>
                <w:rStyle w:val="35"/>
                <w:lang w:val="en-US" w:eastAsia="zh-CN" w:bidi="ar"/>
              </w:rPr>
              <w:t>分）</w:t>
            </w: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613D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年度预算数（万元）</w:t>
            </w: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C826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年初预算</w:t>
            </w:r>
          </w:p>
        </w:tc>
        <w:tc>
          <w:tcPr>
            <w:tcW w:w="8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919D4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调整后预算数</w:t>
            </w:r>
          </w:p>
        </w:tc>
        <w:tc>
          <w:tcPr>
            <w:tcW w:w="69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ED4FB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预算执行数</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D4D1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预算执行率</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8A0D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权重</w:t>
            </w:r>
          </w:p>
        </w:tc>
        <w:tc>
          <w:tcPr>
            <w:tcW w:w="2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792EA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得分</w:t>
            </w:r>
          </w:p>
        </w:tc>
        <w:tc>
          <w:tcPr>
            <w:tcW w:w="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EFFF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原因</w:t>
            </w:r>
          </w:p>
        </w:tc>
      </w:tr>
      <w:tr w14:paraId="1E2D8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3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572D23">
            <w:pPr>
              <w:jc w:val="center"/>
              <w:rPr>
                <w:rFonts w:hint="default" w:ascii="Times New Roman" w:hAnsi="Times New Roman" w:eastAsia="宋体" w:cs="Times New Roman"/>
                <w:i w:val="0"/>
                <w:iCs w:val="0"/>
                <w:color w:val="000000"/>
                <w:sz w:val="18"/>
                <w:szCs w:val="18"/>
                <w:u w:val="none"/>
              </w:rPr>
            </w:pP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DFEB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总额</w:t>
            </w: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F664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40.00</w:t>
            </w:r>
          </w:p>
        </w:tc>
        <w:tc>
          <w:tcPr>
            <w:tcW w:w="8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E466C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40.00</w:t>
            </w:r>
          </w:p>
        </w:tc>
        <w:tc>
          <w:tcPr>
            <w:tcW w:w="69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E1F57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40.00</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64F7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99.99%</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E0C7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2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BE7CC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9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C3F08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iCs/>
                <w:color w:val="000000"/>
                <w:sz w:val="18"/>
                <w:szCs w:val="18"/>
                <w:u w:val="none"/>
              </w:rPr>
            </w:pPr>
            <w:r>
              <w:rPr>
                <w:rStyle w:val="37"/>
                <w:rFonts w:eastAsia="宋体"/>
                <w:lang w:val="en-US" w:eastAsia="zh-CN" w:bidi="ar"/>
              </w:rPr>
              <w:t>1.</w:t>
            </w:r>
            <w:r>
              <w:rPr>
                <w:rStyle w:val="38"/>
                <w:lang w:val="en-US" w:eastAsia="zh-CN" w:bidi="ar"/>
              </w:rPr>
              <w:t>预算执行率</w:t>
            </w:r>
            <w:r>
              <w:rPr>
                <w:rStyle w:val="37"/>
                <w:rFonts w:eastAsia="宋体"/>
                <w:lang w:val="en-US" w:eastAsia="zh-CN" w:bidi="ar"/>
              </w:rPr>
              <w:t>=</w:t>
            </w:r>
            <w:r>
              <w:rPr>
                <w:rStyle w:val="38"/>
                <w:lang w:val="en-US" w:eastAsia="zh-CN" w:bidi="ar"/>
              </w:rPr>
              <w:t>预算执行数</w:t>
            </w:r>
            <w:r>
              <w:rPr>
                <w:rStyle w:val="37"/>
                <w:rFonts w:eastAsia="宋体"/>
                <w:lang w:val="en-US" w:eastAsia="zh-CN" w:bidi="ar"/>
              </w:rPr>
              <w:t>/</w:t>
            </w:r>
            <w:r>
              <w:rPr>
                <w:rStyle w:val="38"/>
                <w:lang w:val="en-US" w:eastAsia="zh-CN" w:bidi="ar"/>
              </w:rPr>
              <w:t>调整后预算数，预算执行率未达到</w:t>
            </w:r>
            <w:r>
              <w:rPr>
                <w:rStyle w:val="37"/>
                <w:rFonts w:eastAsia="宋体"/>
                <w:lang w:val="en-US" w:eastAsia="zh-CN" w:bidi="ar"/>
              </w:rPr>
              <w:t>90%</w:t>
            </w:r>
            <w:r>
              <w:rPr>
                <w:rStyle w:val="38"/>
                <w:lang w:val="en-US" w:eastAsia="zh-CN" w:bidi="ar"/>
              </w:rPr>
              <w:t>的需说明原因（</w:t>
            </w:r>
            <w:r>
              <w:rPr>
                <w:rStyle w:val="37"/>
                <w:rFonts w:eastAsia="宋体"/>
                <w:lang w:val="en-US" w:eastAsia="zh-CN" w:bidi="ar"/>
              </w:rPr>
              <w:t>100</w:t>
            </w:r>
            <w:r>
              <w:rPr>
                <w:rStyle w:val="38"/>
                <w:lang w:val="en-US" w:eastAsia="zh-CN" w:bidi="ar"/>
              </w:rPr>
              <w:t>字以内）</w:t>
            </w:r>
            <w:r>
              <w:rPr>
                <w:rStyle w:val="37"/>
                <w:rFonts w:eastAsia="宋体"/>
                <w:lang w:val="en-US" w:eastAsia="zh-CN" w:bidi="ar"/>
              </w:rPr>
              <w:t>;2.</w:t>
            </w:r>
            <w:r>
              <w:rPr>
                <w:rStyle w:val="38"/>
                <w:lang w:val="en-US" w:eastAsia="zh-CN" w:bidi="ar"/>
              </w:rPr>
              <w:t>年中发生预算调整的（追加或调减）</w:t>
            </w:r>
            <w:r>
              <w:rPr>
                <w:rStyle w:val="37"/>
                <w:rFonts w:eastAsia="宋体"/>
                <w:lang w:val="en-US" w:eastAsia="zh-CN" w:bidi="ar"/>
              </w:rPr>
              <w:t>,</w:t>
            </w:r>
            <w:r>
              <w:rPr>
                <w:rStyle w:val="38"/>
                <w:lang w:val="en-US" w:eastAsia="zh-CN" w:bidi="ar"/>
              </w:rPr>
              <w:t>应单独说明理由；</w:t>
            </w:r>
            <w:r>
              <w:rPr>
                <w:rStyle w:val="37"/>
                <w:rFonts w:eastAsia="宋体"/>
                <w:lang w:val="en-US" w:eastAsia="zh-CN" w:bidi="ar"/>
              </w:rPr>
              <w:t>3.</w:t>
            </w:r>
            <w:r>
              <w:rPr>
                <w:rStyle w:val="38"/>
                <w:lang w:val="en-US" w:eastAsia="zh-CN" w:bidi="ar"/>
              </w:rPr>
              <w:t>其他资金包括：社会投入资金、银行贷款</w:t>
            </w:r>
            <w:r>
              <w:rPr>
                <w:rStyle w:val="37"/>
                <w:rFonts w:eastAsia="宋体"/>
                <w:lang w:val="en-US" w:eastAsia="zh-CN" w:bidi="ar"/>
              </w:rPr>
              <w:t>.</w:t>
            </w:r>
          </w:p>
        </w:tc>
      </w:tr>
      <w:tr w14:paraId="4A6E8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3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F97E0A">
            <w:pPr>
              <w:jc w:val="center"/>
              <w:rPr>
                <w:rFonts w:hint="default" w:ascii="Times New Roman" w:hAnsi="Times New Roman" w:eastAsia="宋体" w:cs="Times New Roman"/>
                <w:i w:val="0"/>
                <w:iCs w:val="0"/>
                <w:color w:val="000000"/>
                <w:sz w:val="18"/>
                <w:szCs w:val="18"/>
                <w:u w:val="none"/>
              </w:rPr>
            </w:pP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4104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其中：财政资金</w:t>
            </w: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7C05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40.00</w:t>
            </w:r>
          </w:p>
        </w:tc>
        <w:tc>
          <w:tcPr>
            <w:tcW w:w="8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9924B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40.00</w:t>
            </w:r>
          </w:p>
        </w:tc>
        <w:tc>
          <w:tcPr>
            <w:tcW w:w="69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56892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40.00</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DC66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99.99%</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C934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2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E12D9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9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9A96A2">
            <w:pPr>
              <w:rPr>
                <w:rFonts w:hint="default" w:ascii="Times New Roman" w:hAnsi="Times New Roman" w:eastAsia="宋体" w:cs="Times New Roman"/>
                <w:i/>
                <w:iCs/>
                <w:color w:val="000000"/>
                <w:sz w:val="18"/>
                <w:szCs w:val="18"/>
                <w:u w:val="none"/>
              </w:rPr>
            </w:pPr>
          </w:p>
        </w:tc>
      </w:tr>
      <w:tr w14:paraId="6F54E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C3B106">
            <w:pPr>
              <w:jc w:val="center"/>
              <w:rPr>
                <w:rFonts w:hint="default" w:ascii="Times New Roman" w:hAnsi="Times New Roman" w:eastAsia="宋体" w:cs="Times New Roman"/>
                <w:i w:val="0"/>
                <w:iCs w:val="0"/>
                <w:color w:val="000000"/>
                <w:sz w:val="18"/>
                <w:szCs w:val="18"/>
                <w:u w:val="none"/>
              </w:rPr>
            </w:pP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B92E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财政专户管理资金</w:t>
            </w: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5A60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8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1A4DB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69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BF1B8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629B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AA62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2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8DCD0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9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2D3681">
            <w:pPr>
              <w:rPr>
                <w:rFonts w:hint="default" w:ascii="Times New Roman" w:hAnsi="Times New Roman" w:eastAsia="宋体" w:cs="Times New Roman"/>
                <w:i/>
                <w:iCs/>
                <w:color w:val="000000"/>
                <w:sz w:val="18"/>
                <w:szCs w:val="18"/>
                <w:u w:val="none"/>
              </w:rPr>
            </w:pPr>
          </w:p>
        </w:tc>
      </w:tr>
      <w:tr w14:paraId="6C1BF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1" w:hRule="atLeast"/>
        </w:trPr>
        <w:tc>
          <w:tcPr>
            <w:tcW w:w="3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42BD6E">
            <w:pPr>
              <w:jc w:val="center"/>
              <w:rPr>
                <w:rFonts w:hint="default" w:ascii="Times New Roman" w:hAnsi="Times New Roman" w:eastAsia="宋体" w:cs="Times New Roman"/>
                <w:i w:val="0"/>
                <w:iCs w:val="0"/>
                <w:color w:val="000000"/>
                <w:sz w:val="18"/>
                <w:szCs w:val="18"/>
                <w:u w:val="none"/>
              </w:rPr>
            </w:pP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19E6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单位资金</w:t>
            </w: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A75F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8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1EC45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69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DC61B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15B9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DEE6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2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3E20F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9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C11EC">
            <w:pPr>
              <w:rPr>
                <w:rFonts w:hint="default" w:ascii="Times New Roman" w:hAnsi="Times New Roman" w:eastAsia="宋体" w:cs="Times New Roman"/>
                <w:i/>
                <w:iCs/>
                <w:color w:val="000000"/>
                <w:sz w:val="18"/>
                <w:szCs w:val="18"/>
                <w:u w:val="none"/>
              </w:rPr>
            </w:pPr>
          </w:p>
        </w:tc>
      </w:tr>
      <w:tr w14:paraId="77A34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3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631CA8">
            <w:pPr>
              <w:jc w:val="center"/>
              <w:rPr>
                <w:rFonts w:hint="default" w:ascii="Times New Roman" w:hAnsi="Times New Roman" w:eastAsia="宋体" w:cs="Times New Roman"/>
                <w:i w:val="0"/>
                <w:iCs w:val="0"/>
                <w:color w:val="000000"/>
                <w:sz w:val="18"/>
                <w:szCs w:val="18"/>
                <w:u w:val="none"/>
              </w:rPr>
            </w:pP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4718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其他资金</w:t>
            </w: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5C6F7">
            <w:pPr>
              <w:jc w:val="center"/>
              <w:rPr>
                <w:rFonts w:hint="default" w:ascii="Times New Roman" w:hAnsi="Times New Roman" w:eastAsia="宋体" w:cs="Times New Roman"/>
                <w:i/>
                <w:iCs/>
                <w:color w:val="000000"/>
                <w:sz w:val="16"/>
                <w:szCs w:val="16"/>
                <w:u w:val="none"/>
              </w:rPr>
            </w:pPr>
          </w:p>
        </w:tc>
        <w:tc>
          <w:tcPr>
            <w:tcW w:w="8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58690F">
            <w:pPr>
              <w:jc w:val="center"/>
              <w:rPr>
                <w:rFonts w:hint="default" w:ascii="Times New Roman" w:hAnsi="Times New Roman" w:eastAsia="宋体" w:cs="Times New Roman"/>
                <w:i/>
                <w:iCs/>
                <w:color w:val="000000"/>
                <w:sz w:val="16"/>
                <w:szCs w:val="16"/>
                <w:u w:val="none"/>
              </w:rPr>
            </w:pPr>
          </w:p>
        </w:tc>
        <w:tc>
          <w:tcPr>
            <w:tcW w:w="69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BD2B97">
            <w:pPr>
              <w:jc w:val="center"/>
              <w:rPr>
                <w:rFonts w:hint="default" w:ascii="Times New Roman" w:hAnsi="Times New Roman" w:eastAsia="宋体" w:cs="Times New Roman"/>
                <w:i/>
                <w:iCs/>
                <w:color w:val="000000"/>
                <w:sz w:val="16"/>
                <w:szCs w:val="16"/>
                <w:u w:val="none"/>
              </w:rPr>
            </w:pP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6909A">
            <w:pPr>
              <w:jc w:val="center"/>
              <w:rPr>
                <w:rFonts w:hint="default" w:ascii="Times New Roman" w:hAnsi="Times New Roman" w:eastAsia="宋体" w:cs="Times New Roman"/>
                <w:i/>
                <w:iCs/>
                <w:color w:val="000000"/>
                <w:sz w:val="16"/>
                <w:szCs w:val="16"/>
                <w:u w:val="none"/>
              </w:rPr>
            </w:pP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41AC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2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00890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9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82AC76">
            <w:pPr>
              <w:rPr>
                <w:rFonts w:hint="default" w:ascii="Times New Roman" w:hAnsi="Times New Roman" w:eastAsia="宋体" w:cs="Times New Roman"/>
                <w:i/>
                <w:iCs/>
                <w:color w:val="000000"/>
                <w:sz w:val="18"/>
                <w:szCs w:val="18"/>
                <w:u w:val="none"/>
              </w:rPr>
            </w:pPr>
          </w:p>
        </w:tc>
      </w:tr>
      <w:tr w14:paraId="240DE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3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1E647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绩效指标（</w:t>
            </w:r>
            <w:r>
              <w:rPr>
                <w:rStyle w:val="36"/>
                <w:rFonts w:eastAsia="宋体"/>
                <w:lang w:val="en-US" w:eastAsia="zh-CN" w:bidi="ar"/>
              </w:rPr>
              <w:t>90</w:t>
            </w:r>
            <w:r>
              <w:rPr>
                <w:rStyle w:val="35"/>
                <w:lang w:val="en-US" w:eastAsia="zh-CN" w:bidi="ar"/>
              </w:rPr>
              <w:t>分）</w:t>
            </w: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C40B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一级指标</w:t>
            </w: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F31F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二级指标</w:t>
            </w: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24FC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三级指标</w:t>
            </w: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03D1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指标性质</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AE2C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指标值</w:t>
            </w: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26B5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度量单位</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C6D1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完成值</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CED6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权重</w:t>
            </w:r>
          </w:p>
        </w:tc>
        <w:tc>
          <w:tcPr>
            <w:tcW w:w="2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631EE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得分</w:t>
            </w:r>
          </w:p>
        </w:tc>
        <w:tc>
          <w:tcPr>
            <w:tcW w:w="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1551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未完成原因分析</w:t>
            </w:r>
          </w:p>
        </w:tc>
      </w:tr>
      <w:tr w14:paraId="77ACB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AC0BA7">
            <w:pPr>
              <w:jc w:val="center"/>
              <w:rPr>
                <w:rFonts w:hint="default" w:ascii="Times New Roman" w:hAnsi="Times New Roman" w:eastAsia="宋体" w:cs="Times New Roman"/>
                <w:i w:val="0"/>
                <w:iCs w:val="0"/>
                <w:color w:val="000000"/>
                <w:sz w:val="18"/>
                <w:szCs w:val="18"/>
                <w:u w:val="none"/>
              </w:rPr>
            </w:pPr>
          </w:p>
        </w:tc>
        <w:tc>
          <w:tcPr>
            <w:tcW w:w="60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AA138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产出指标</w:t>
            </w:r>
          </w:p>
        </w:tc>
        <w:tc>
          <w:tcPr>
            <w:tcW w:w="50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197F7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数量指标</w:t>
            </w: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C806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征集课题篇数</w:t>
            </w: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218E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8CEA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200</w:t>
            </w: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3CE2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篇</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857AE">
            <w:pPr>
              <w:keepNext w:val="0"/>
              <w:keepLines w:val="0"/>
              <w:widowControl/>
              <w:suppressLineNumbers w:val="0"/>
              <w:jc w:val="center"/>
              <w:textAlignment w:val="center"/>
              <w:rPr>
                <w:rFonts w:hint="default" w:ascii="Times New Roman" w:hAnsi="Times New Roman" w:eastAsia="宋体" w:cs="Times New Roman"/>
                <w:i/>
                <w:iCs/>
                <w:color w:val="000000"/>
                <w:sz w:val="18"/>
                <w:szCs w:val="18"/>
                <w:u w:val="none"/>
              </w:rPr>
            </w:pPr>
            <w:r>
              <w:rPr>
                <w:rFonts w:hint="default" w:ascii="Times New Roman" w:hAnsi="Times New Roman" w:eastAsia="宋体" w:cs="Times New Roman"/>
                <w:i/>
                <w:iCs/>
                <w:color w:val="000000"/>
                <w:kern w:val="0"/>
                <w:sz w:val="18"/>
                <w:szCs w:val="18"/>
                <w:u w:val="none"/>
                <w:lang w:val="en-US" w:eastAsia="zh-CN" w:bidi="ar"/>
              </w:rPr>
              <w:t>234</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6A51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2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7020F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018C6">
            <w:pPr>
              <w:jc w:val="center"/>
              <w:rPr>
                <w:rFonts w:hint="default" w:ascii="Times New Roman" w:hAnsi="Times New Roman" w:eastAsia="宋体" w:cs="Times New Roman"/>
                <w:i/>
                <w:iCs/>
                <w:color w:val="000000"/>
                <w:sz w:val="16"/>
                <w:szCs w:val="16"/>
                <w:u w:val="none"/>
              </w:rPr>
            </w:pPr>
          </w:p>
        </w:tc>
      </w:tr>
      <w:tr w14:paraId="2347F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9DDFD7">
            <w:pPr>
              <w:jc w:val="center"/>
              <w:rPr>
                <w:rFonts w:hint="default" w:ascii="Times New Roman" w:hAnsi="Times New Roman" w:eastAsia="宋体" w:cs="Times New Roman"/>
                <w:i w:val="0"/>
                <w:iCs w:val="0"/>
                <w:color w:val="000000"/>
                <w:sz w:val="18"/>
                <w:szCs w:val="18"/>
                <w:u w:val="none"/>
              </w:rPr>
            </w:pPr>
          </w:p>
        </w:tc>
        <w:tc>
          <w:tcPr>
            <w:tcW w:w="6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426CA8">
            <w:pPr>
              <w:jc w:val="center"/>
              <w:rPr>
                <w:rFonts w:hint="default" w:ascii="Times New Roman" w:hAnsi="Times New Roman" w:eastAsia="宋体" w:cs="Times New Roman"/>
                <w:i w:val="0"/>
                <w:iCs w:val="0"/>
                <w:color w:val="000000"/>
                <w:sz w:val="18"/>
                <w:szCs w:val="18"/>
                <w:u w:val="none"/>
              </w:rPr>
            </w:pPr>
          </w:p>
        </w:tc>
        <w:tc>
          <w:tcPr>
            <w:tcW w:w="5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EAD6B0">
            <w:pPr>
              <w:jc w:val="center"/>
              <w:rPr>
                <w:rFonts w:hint="default" w:ascii="Times New Roman" w:hAnsi="Times New Roman" w:eastAsia="宋体" w:cs="Times New Roman"/>
                <w:i w:val="0"/>
                <w:iCs w:val="0"/>
                <w:color w:val="000000"/>
                <w:sz w:val="18"/>
                <w:szCs w:val="18"/>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E64F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调研次数</w:t>
            </w: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6EC8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F1A0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B1E9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次</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C1483">
            <w:pPr>
              <w:keepNext w:val="0"/>
              <w:keepLines w:val="0"/>
              <w:widowControl/>
              <w:suppressLineNumbers w:val="0"/>
              <w:jc w:val="center"/>
              <w:textAlignment w:val="center"/>
              <w:rPr>
                <w:rFonts w:hint="default" w:ascii="Times New Roman" w:hAnsi="Times New Roman" w:eastAsia="宋体" w:cs="Times New Roman"/>
                <w:i/>
                <w:iCs/>
                <w:color w:val="000000"/>
                <w:sz w:val="18"/>
                <w:szCs w:val="18"/>
                <w:u w:val="none"/>
              </w:rPr>
            </w:pPr>
            <w:r>
              <w:rPr>
                <w:rFonts w:hint="default" w:ascii="Times New Roman" w:hAnsi="Times New Roman" w:eastAsia="宋体" w:cs="Times New Roman"/>
                <w:i/>
                <w:iCs/>
                <w:color w:val="000000"/>
                <w:kern w:val="0"/>
                <w:sz w:val="18"/>
                <w:szCs w:val="18"/>
                <w:u w:val="none"/>
                <w:lang w:val="en-US" w:eastAsia="zh-CN" w:bidi="ar"/>
              </w:rPr>
              <w:t>148</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1531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w:t>
            </w:r>
          </w:p>
        </w:tc>
        <w:tc>
          <w:tcPr>
            <w:tcW w:w="2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CE0E7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w:t>
            </w:r>
          </w:p>
        </w:tc>
        <w:tc>
          <w:tcPr>
            <w:tcW w:w="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31FC7">
            <w:pPr>
              <w:jc w:val="center"/>
              <w:rPr>
                <w:rFonts w:hint="default" w:ascii="Times New Roman" w:hAnsi="Times New Roman" w:eastAsia="宋体" w:cs="Times New Roman"/>
                <w:i/>
                <w:iCs/>
                <w:color w:val="000000"/>
                <w:sz w:val="16"/>
                <w:szCs w:val="16"/>
                <w:u w:val="none"/>
              </w:rPr>
            </w:pPr>
          </w:p>
        </w:tc>
      </w:tr>
      <w:tr w14:paraId="44688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16AF5C">
            <w:pPr>
              <w:jc w:val="center"/>
              <w:rPr>
                <w:rFonts w:hint="default" w:ascii="Times New Roman" w:hAnsi="Times New Roman" w:eastAsia="宋体" w:cs="Times New Roman"/>
                <w:i w:val="0"/>
                <w:iCs w:val="0"/>
                <w:color w:val="000000"/>
                <w:sz w:val="18"/>
                <w:szCs w:val="18"/>
                <w:u w:val="none"/>
              </w:rPr>
            </w:pPr>
          </w:p>
        </w:tc>
        <w:tc>
          <w:tcPr>
            <w:tcW w:w="6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F2BCD5">
            <w:pPr>
              <w:jc w:val="center"/>
              <w:rPr>
                <w:rFonts w:hint="default" w:ascii="Times New Roman" w:hAnsi="Times New Roman" w:eastAsia="宋体" w:cs="Times New Roman"/>
                <w:i w:val="0"/>
                <w:iCs w:val="0"/>
                <w:color w:val="000000"/>
                <w:sz w:val="18"/>
                <w:szCs w:val="18"/>
                <w:u w:val="none"/>
              </w:rPr>
            </w:pP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42EC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质量指标</w:t>
            </w: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541E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获得中央、省领导批示</w:t>
            </w: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ED83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1E6B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1F54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篇</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96A6D">
            <w:pPr>
              <w:keepNext w:val="0"/>
              <w:keepLines w:val="0"/>
              <w:widowControl/>
              <w:suppressLineNumbers w:val="0"/>
              <w:jc w:val="center"/>
              <w:textAlignment w:val="center"/>
              <w:rPr>
                <w:rFonts w:hint="default" w:ascii="Times New Roman" w:hAnsi="Times New Roman" w:eastAsia="宋体" w:cs="Times New Roman"/>
                <w:i/>
                <w:iCs/>
                <w:color w:val="000000"/>
                <w:sz w:val="18"/>
                <w:szCs w:val="18"/>
                <w:u w:val="none"/>
              </w:rPr>
            </w:pPr>
            <w:r>
              <w:rPr>
                <w:rFonts w:hint="default" w:ascii="Times New Roman" w:hAnsi="Times New Roman" w:eastAsia="宋体" w:cs="Times New Roman"/>
                <w:i/>
                <w:iCs/>
                <w:color w:val="000000"/>
                <w:kern w:val="0"/>
                <w:sz w:val="18"/>
                <w:szCs w:val="18"/>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3A8A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2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500C4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A24D3">
            <w:pPr>
              <w:jc w:val="center"/>
              <w:rPr>
                <w:rFonts w:hint="default" w:ascii="Times New Roman" w:hAnsi="Times New Roman" w:eastAsia="宋体" w:cs="Times New Roman"/>
                <w:i/>
                <w:iCs/>
                <w:color w:val="000000"/>
                <w:sz w:val="16"/>
                <w:szCs w:val="16"/>
                <w:u w:val="none"/>
              </w:rPr>
            </w:pPr>
          </w:p>
        </w:tc>
      </w:tr>
      <w:tr w14:paraId="2EC88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093B78">
            <w:pPr>
              <w:jc w:val="center"/>
              <w:rPr>
                <w:rFonts w:hint="default" w:ascii="Times New Roman" w:hAnsi="Times New Roman" w:eastAsia="宋体" w:cs="Times New Roman"/>
                <w:i w:val="0"/>
                <w:iCs w:val="0"/>
                <w:color w:val="000000"/>
                <w:sz w:val="18"/>
                <w:szCs w:val="18"/>
                <w:u w:val="none"/>
              </w:rPr>
            </w:pPr>
          </w:p>
        </w:tc>
        <w:tc>
          <w:tcPr>
            <w:tcW w:w="6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1F566D">
            <w:pPr>
              <w:jc w:val="center"/>
              <w:rPr>
                <w:rFonts w:hint="default" w:ascii="Times New Roman" w:hAnsi="Times New Roman" w:eastAsia="宋体" w:cs="Times New Roman"/>
                <w:i w:val="0"/>
                <w:iCs w:val="0"/>
                <w:color w:val="000000"/>
                <w:sz w:val="18"/>
                <w:szCs w:val="18"/>
                <w:u w:val="none"/>
              </w:rPr>
            </w:pP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2D04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时效指标</w:t>
            </w: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F2A4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按时完成全年工作</w:t>
            </w: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8FCF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DDFE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w:t>
            </w: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F79E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12F09">
            <w:pPr>
              <w:keepNext w:val="0"/>
              <w:keepLines w:val="0"/>
              <w:widowControl/>
              <w:suppressLineNumbers w:val="0"/>
              <w:jc w:val="center"/>
              <w:textAlignment w:val="center"/>
              <w:rPr>
                <w:rFonts w:hint="default" w:ascii="Times New Roman" w:hAnsi="Times New Roman" w:eastAsia="宋体" w:cs="Times New Roman"/>
                <w:i/>
                <w:iCs/>
                <w:color w:val="000000"/>
                <w:sz w:val="18"/>
                <w:szCs w:val="18"/>
                <w:u w:val="none"/>
              </w:rPr>
            </w:pPr>
            <w:r>
              <w:rPr>
                <w:rFonts w:hint="default" w:ascii="Times New Roman" w:hAnsi="Times New Roman" w:eastAsia="宋体" w:cs="Times New Roman"/>
                <w:i/>
                <w:iCs/>
                <w:color w:val="000000"/>
                <w:kern w:val="0"/>
                <w:sz w:val="18"/>
                <w:szCs w:val="18"/>
                <w:u w:val="none"/>
                <w:lang w:val="en-US" w:eastAsia="zh-CN" w:bidi="ar"/>
              </w:rPr>
              <w:t>100</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82A6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w:t>
            </w:r>
          </w:p>
        </w:tc>
        <w:tc>
          <w:tcPr>
            <w:tcW w:w="2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218FF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w:t>
            </w:r>
          </w:p>
        </w:tc>
        <w:tc>
          <w:tcPr>
            <w:tcW w:w="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CA1F6">
            <w:pPr>
              <w:jc w:val="center"/>
              <w:rPr>
                <w:rFonts w:hint="default" w:ascii="Times New Roman" w:hAnsi="Times New Roman" w:eastAsia="宋体" w:cs="Times New Roman"/>
                <w:i/>
                <w:iCs/>
                <w:color w:val="000000"/>
                <w:sz w:val="16"/>
                <w:szCs w:val="16"/>
                <w:u w:val="none"/>
              </w:rPr>
            </w:pPr>
          </w:p>
        </w:tc>
      </w:tr>
      <w:tr w14:paraId="3F5BA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984315">
            <w:pPr>
              <w:jc w:val="center"/>
              <w:rPr>
                <w:rFonts w:hint="default" w:ascii="Times New Roman" w:hAnsi="Times New Roman" w:eastAsia="宋体" w:cs="Times New Roman"/>
                <w:i w:val="0"/>
                <w:iCs w:val="0"/>
                <w:color w:val="000000"/>
                <w:sz w:val="18"/>
                <w:szCs w:val="18"/>
                <w:u w:val="none"/>
              </w:rPr>
            </w:pP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8320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效益指标</w:t>
            </w: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0C2D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社会效益指标</w:t>
            </w: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6BCF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媒体报道次数</w:t>
            </w: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87C3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1C5C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w:t>
            </w: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2AD1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次</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FEF81">
            <w:pPr>
              <w:keepNext w:val="0"/>
              <w:keepLines w:val="0"/>
              <w:widowControl/>
              <w:suppressLineNumbers w:val="0"/>
              <w:jc w:val="center"/>
              <w:textAlignment w:val="center"/>
              <w:rPr>
                <w:rFonts w:hint="default" w:ascii="Times New Roman" w:hAnsi="Times New Roman" w:eastAsia="宋体" w:cs="Times New Roman"/>
                <w:i/>
                <w:iCs/>
                <w:color w:val="000000"/>
                <w:sz w:val="18"/>
                <w:szCs w:val="18"/>
                <w:u w:val="none"/>
              </w:rPr>
            </w:pPr>
            <w:r>
              <w:rPr>
                <w:rFonts w:hint="default" w:ascii="Times New Roman" w:hAnsi="Times New Roman" w:eastAsia="宋体" w:cs="Times New Roman"/>
                <w:i/>
                <w:iCs/>
                <w:color w:val="000000"/>
                <w:kern w:val="0"/>
                <w:sz w:val="18"/>
                <w:szCs w:val="18"/>
                <w:u w:val="none"/>
                <w:lang w:val="en-US" w:eastAsia="zh-CN" w:bidi="ar"/>
              </w:rPr>
              <w:t>3</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0610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w:t>
            </w:r>
          </w:p>
        </w:tc>
        <w:tc>
          <w:tcPr>
            <w:tcW w:w="2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21609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w:t>
            </w:r>
          </w:p>
        </w:tc>
        <w:tc>
          <w:tcPr>
            <w:tcW w:w="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539E7">
            <w:pPr>
              <w:jc w:val="center"/>
              <w:rPr>
                <w:rFonts w:hint="default" w:ascii="Times New Roman" w:hAnsi="Times New Roman" w:eastAsia="宋体" w:cs="Times New Roman"/>
                <w:i/>
                <w:iCs/>
                <w:color w:val="000000"/>
                <w:sz w:val="16"/>
                <w:szCs w:val="16"/>
                <w:u w:val="none"/>
              </w:rPr>
            </w:pPr>
          </w:p>
        </w:tc>
      </w:tr>
      <w:tr w14:paraId="69ADC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46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3CE8E4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合计</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B6BC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w:t>
            </w:r>
          </w:p>
        </w:tc>
        <w:tc>
          <w:tcPr>
            <w:tcW w:w="2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8D7430">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w:t>
            </w:r>
          </w:p>
        </w:tc>
        <w:tc>
          <w:tcPr>
            <w:tcW w:w="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0A1C1">
            <w:pPr>
              <w:rPr>
                <w:rFonts w:hint="default" w:ascii="Times New Roman" w:hAnsi="Times New Roman" w:eastAsia="宋体" w:cs="Times New Roman"/>
                <w:i w:val="0"/>
                <w:iCs w:val="0"/>
                <w:color w:val="000000"/>
                <w:sz w:val="18"/>
                <w:szCs w:val="18"/>
                <w:u w:val="none"/>
              </w:rPr>
            </w:pPr>
          </w:p>
        </w:tc>
      </w:tr>
      <w:tr w14:paraId="6FC2F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3A3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评价结论</w:t>
            </w:r>
          </w:p>
        </w:tc>
        <w:tc>
          <w:tcPr>
            <w:tcW w:w="4675"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87AF9E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4"/>
                <w:szCs w:val="24"/>
                <w:u w:val="none"/>
              </w:rPr>
            </w:pPr>
            <w:r>
              <w:rPr>
                <w:rStyle w:val="39"/>
                <w:lang w:val="en-US" w:eastAsia="zh-CN" w:bidi="ar"/>
              </w:rPr>
              <w:t>该项目得分为</w:t>
            </w:r>
            <w:r>
              <w:rPr>
                <w:rStyle w:val="40"/>
                <w:rFonts w:eastAsia="宋体"/>
                <w:lang w:val="en-US" w:eastAsia="zh-CN" w:bidi="ar"/>
              </w:rPr>
              <w:t>100</w:t>
            </w:r>
            <w:r>
              <w:rPr>
                <w:rStyle w:val="39"/>
                <w:lang w:val="en-US" w:eastAsia="zh-CN" w:bidi="ar"/>
              </w:rPr>
              <w:t>分。按照年初的目标和要求实施。</w:t>
            </w:r>
          </w:p>
        </w:tc>
      </w:tr>
      <w:tr w14:paraId="5594E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310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存在问题</w:t>
            </w:r>
          </w:p>
        </w:tc>
        <w:tc>
          <w:tcPr>
            <w:tcW w:w="4675"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65337F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iCs/>
                <w:color w:val="000000"/>
                <w:sz w:val="16"/>
                <w:szCs w:val="16"/>
                <w:u w:val="none"/>
              </w:rPr>
            </w:pPr>
            <w:r>
              <w:rPr>
                <w:rStyle w:val="41"/>
                <w:lang w:val="en-US" w:eastAsia="zh-CN" w:bidi="ar"/>
              </w:rPr>
              <w:t>无</w:t>
            </w:r>
          </w:p>
        </w:tc>
      </w:tr>
      <w:tr w14:paraId="0B2D9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5F2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改进措施</w:t>
            </w:r>
          </w:p>
        </w:tc>
        <w:tc>
          <w:tcPr>
            <w:tcW w:w="4675"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A8AA3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iCs/>
                <w:color w:val="000000"/>
                <w:sz w:val="16"/>
                <w:szCs w:val="16"/>
                <w:u w:val="none"/>
              </w:rPr>
            </w:pPr>
            <w:r>
              <w:rPr>
                <w:rStyle w:val="41"/>
                <w:lang w:val="en-US" w:eastAsia="zh-CN" w:bidi="ar"/>
              </w:rPr>
              <w:t>无</w:t>
            </w:r>
          </w:p>
        </w:tc>
      </w:tr>
      <w:tr w14:paraId="36BE3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32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B39F3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项目负责人：</w:t>
            </w:r>
          </w:p>
        </w:tc>
        <w:tc>
          <w:tcPr>
            <w:tcW w:w="2674"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CB8B21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Style w:val="35"/>
                <w:lang w:val="en-US" w:eastAsia="zh-CN" w:bidi="ar"/>
              </w:rPr>
              <w:t>财务负责人：</w:t>
            </w:r>
          </w:p>
        </w:tc>
      </w:tr>
    </w:tbl>
    <w:p w14:paraId="04AACC87">
      <w:pPr>
        <w:rPr>
          <w:rFonts w:hint="eastAsia"/>
          <w:lang w:val="zh-CN"/>
        </w:rPr>
      </w:pPr>
    </w:p>
    <w:tbl>
      <w:tblPr>
        <w:tblStyle w:val="15"/>
        <w:tblW w:w="5352"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021"/>
        <w:gridCol w:w="860"/>
        <w:gridCol w:w="1145"/>
        <w:gridCol w:w="400"/>
        <w:gridCol w:w="796"/>
        <w:gridCol w:w="636"/>
        <w:gridCol w:w="773"/>
        <w:gridCol w:w="486"/>
        <w:gridCol w:w="392"/>
        <w:gridCol w:w="96"/>
        <w:gridCol w:w="1941"/>
      </w:tblGrid>
      <w:tr w14:paraId="7D799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9" w:hRule="atLeast"/>
        </w:trPr>
        <w:tc>
          <w:tcPr>
            <w:tcW w:w="5000"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31156E01">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64E63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08309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项目名称</w:t>
            </w:r>
          </w:p>
        </w:tc>
        <w:tc>
          <w:tcPr>
            <w:tcW w:w="4124"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EFAB27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51000025Y000013045672-</w:t>
            </w:r>
            <w:r>
              <w:rPr>
                <w:rFonts w:ascii="方正仿宋_GB2312" w:hAnsi="方正仿宋_GB2312" w:eastAsia="方正仿宋_GB2312" w:cs="方正仿宋_GB2312"/>
                <w:i w:val="0"/>
                <w:iCs w:val="0"/>
                <w:color w:val="000000"/>
                <w:kern w:val="0"/>
                <w:sz w:val="18"/>
                <w:szCs w:val="18"/>
                <w:u w:val="none"/>
                <w:lang w:val="en-US" w:eastAsia="zh-CN" w:bidi="ar"/>
              </w:rPr>
              <w:t>民主党派特色工作经费</w:t>
            </w:r>
          </w:p>
        </w:tc>
      </w:tr>
      <w:tr w14:paraId="3D052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8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DCA38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主管部门</w:t>
            </w:r>
          </w:p>
        </w:tc>
        <w:tc>
          <w:tcPr>
            <w:tcW w:w="210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4B263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九三学社四川省委员会部门</w:t>
            </w:r>
          </w:p>
        </w:tc>
        <w:tc>
          <w:tcPr>
            <w:tcW w:w="904" w:type="pct"/>
            <w:gridSpan w:val="3"/>
            <w:tcBorders>
              <w:top w:val="nil"/>
              <w:left w:val="nil"/>
              <w:bottom w:val="nil"/>
              <w:right w:val="nil"/>
            </w:tcBorders>
            <w:shd w:val="clear" w:color="auto" w:fill="auto"/>
            <w:vAlign w:val="center"/>
          </w:tcPr>
          <w:p w14:paraId="49BFD51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实施单位</w:t>
            </w:r>
            <w:r>
              <w:rPr>
                <w:rFonts w:hint="default" w:ascii="Times New Roman" w:hAnsi="Times New Roman" w:eastAsia="宋体" w:cs="Times New Roman"/>
                <w:i w:val="0"/>
                <w:iCs w:val="0"/>
                <w:color w:val="000000"/>
                <w:kern w:val="0"/>
                <w:sz w:val="18"/>
                <w:szCs w:val="18"/>
                <w:u w:val="none"/>
                <w:lang w:val="en-US" w:eastAsia="zh-CN" w:bidi="ar"/>
              </w:rPr>
              <w:t xml:space="preserve"> </w:t>
            </w:r>
            <w:r>
              <w:rPr>
                <w:rFonts w:ascii="方正仿宋_GB2312" w:hAnsi="方正仿宋_GB2312" w:eastAsia="方正仿宋_GB2312" w:cs="方正仿宋_GB2312"/>
                <w:i w:val="0"/>
                <w:iCs w:val="0"/>
                <w:color w:val="000000"/>
                <w:kern w:val="0"/>
                <w:sz w:val="18"/>
                <w:szCs w:val="18"/>
                <w:u w:val="none"/>
                <w:lang w:val="en-US" w:eastAsia="zh-CN" w:bidi="ar"/>
              </w:rPr>
              <w:t>（盖章）</w:t>
            </w:r>
          </w:p>
        </w:tc>
        <w:tc>
          <w:tcPr>
            <w:tcW w:w="11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BAA86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九三学社四川省委</w:t>
            </w:r>
          </w:p>
        </w:tc>
      </w:tr>
      <w:tr w14:paraId="6FFFF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A6CEA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项目基本情况</w:t>
            </w:r>
          </w:p>
        </w:tc>
        <w:tc>
          <w:tcPr>
            <w:tcW w:w="5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F2AE0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r>
              <w:rPr>
                <w:rFonts w:ascii="方正仿宋_GB2312" w:hAnsi="方正仿宋_GB2312" w:eastAsia="方正仿宋_GB2312" w:cs="方正仿宋_GB2312"/>
                <w:i w:val="0"/>
                <w:iCs w:val="0"/>
                <w:color w:val="000000"/>
                <w:kern w:val="0"/>
                <w:sz w:val="18"/>
                <w:szCs w:val="18"/>
                <w:u w:val="none"/>
                <w:lang w:val="en-US" w:eastAsia="zh-CN" w:bidi="ar"/>
              </w:rPr>
              <w:t>项目年度目标完成情况</w:t>
            </w:r>
          </w:p>
        </w:tc>
        <w:tc>
          <w:tcPr>
            <w:tcW w:w="210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B77124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项目年度目标</w:t>
            </w:r>
          </w:p>
        </w:tc>
        <w:tc>
          <w:tcPr>
            <w:tcW w:w="201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665DE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年度目标完成情况</w:t>
            </w:r>
          </w:p>
        </w:tc>
      </w:tr>
      <w:tr w14:paraId="7E815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5"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D404D9">
            <w:pPr>
              <w:rPr>
                <w:rFonts w:hint="default" w:ascii="Times New Roman" w:hAnsi="Times New Roman" w:eastAsia="宋体" w:cs="Times New Roman"/>
                <w:i w:val="0"/>
                <w:iCs w:val="0"/>
                <w:color w:val="000000"/>
                <w:sz w:val="18"/>
                <w:szCs w:val="18"/>
                <w:u w:val="none"/>
              </w:rPr>
            </w:pPr>
          </w:p>
        </w:tc>
        <w:tc>
          <w:tcPr>
            <w:tcW w:w="5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6DDF73">
            <w:pPr>
              <w:rPr>
                <w:rFonts w:hint="default" w:ascii="Times New Roman" w:hAnsi="Times New Roman" w:eastAsia="宋体" w:cs="Times New Roman"/>
                <w:i w:val="0"/>
                <w:iCs w:val="0"/>
                <w:color w:val="000000"/>
                <w:sz w:val="18"/>
                <w:szCs w:val="18"/>
                <w:u w:val="none"/>
              </w:rPr>
            </w:pPr>
          </w:p>
        </w:tc>
        <w:tc>
          <w:tcPr>
            <w:tcW w:w="210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93A8F6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围绕深入推进供给侧结构性改革，持续深化改革扩大开放，打赢脱贫攻坚和推进社会民生事业发展、推进生态优先绿色发展、加强思想文化建设、发展社会主义法治等重点难点工作，充分发挥九三的智力优势，深入开展调研，为深化政治交接，提升履职能力建言献策，以政治理论培训为重点，举办党派人大代表、政协委员培训班、青年骨干社员培训班，着力提高党员的参政党意识和参政议政能；组织全省各级组织按时召开各类会议，按照九三中央有关对口四川省开展脱贫攻坚民主监督工作要求，急需做好各项精准扶贫督导帮扶工作，发挥社内智力优势，积极联系资源，服务本省建设。</w:t>
            </w:r>
          </w:p>
        </w:tc>
        <w:tc>
          <w:tcPr>
            <w:tcW w:w="201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5AB24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完成干部培训</w:t>
            </w:r>
            <w:r>
              <w:rPr>
                <w:rFonts w:hint="default" w:ascii="Times New Roman" w:hAnsi="Times New Roman" w:eastAsia="宋体" w:cs="Times New Roman"/>
                <w:i w:val="0"/>
                <w:iCs w:val="0"/>
                <w:color w:val="000000"/>
                <w:kern w:val="0"/>
                <w:sz w:val="18"/>
                <w:szCs w:val="18"/>
                <w:u w:val="none"/>
                <w:lang w:val="en-US" w:eastAsia="zh-CN" w:bidi="ar"/>
              </w:rPr>
              <w:t>200</w:t>
            </w:r>
            <w:r>
              <w:rPr>
                <w:rFonts w:ascii="方正仿宋_GB2312" w:hAnsi="方正仿宋_GB2312" w:eastAsia="方正仿宋_GB2312" w:cs="方正仿宋_GB2312"/>
                <w:i w:val="0"/>
                <w:iCs w:val="0"/>
                <w:color w:val="000000"/>
                <w:kern w:val="0"/>
                <w:sz w:val="18"/>
                <w:szCs w:val="18"/>
                <w:u w:val="none"/>
                <w:lang w:val="en-US" w:eastAsia="zh-CN" w:bidi="ar"/>
              </w:rPr>
              <w:t>余人次，全年预算执行率</w:t>
            </w:r>
            <w:r>
              <w:rPr>
                <w:rFonts w:hint="default" w:ascii="Times New Roman" w:hAnsi="Times New Roman" w:eastAsia="宋体" w:cs="Times New Roman"/>
                <w:i w:val="0"/>
                <w:iCs w:val="0"/>
                <w:color w:val="000000"/>
                <w:kern w:val="0"/>
                <w:sz w:val="18"/>
                <w:szCs w:val="18"/>
                <w:u w:val="none"/>
                <w:lang w:val="en-US" w:eastAsia="zh-CN" w:bidi="ar"/>
              </w:rPr>
              <w:t>99.73%</w:t>
            </w:r>
            <w:r>
              <w:rPr>
                <w:rFonts w:ascii="方正仿宋_GB2312" w:hAnsi="方正仿宋_GB2312" w:eastAsia="方正仿宋_GB2312" w:cs="方正仿宋_GB2312"/>
                <w:i w:val="0"/>
                <w:iCs w:val="0"/>
                <w:color w:val="000000"/>
                <w:kern w:val="0"/>
                <w:sz w:val="18"/>
                <w:szCs w:val="18"/>
                <w:u w:val="none"/>
                <w:lang w:val="en-US" w:eastAsia="zh-CN" w:bidi="ar"/>
              </w:rPr>
              <w:t>，发展新成员</w:t>
            </w:r>
            <w:r>
              <w:rPr>
                <w:rFonts w:hint="default" w:ascii="Times New Roman" w:hAnsi="Times New Roman" w:eastAsia="宋体" w:cs="Times New Roman"/>
                <w:i w:val="0"/>
                <w:iCs w:val="0"/>
                <w:color w:val="000000"/>
                <w:kern w:val="0"/>
                <w:sz w:val="18"/>
                <w:szCs w:val="18"/>
                <w:u w:val="none"/>
                <w:lang w:val="en-US" w:eastAsia="zh-CN" w:bidi="ar"/>
              </w:rPr>
              <w:t>505</w:t>
            </w:r>
            <w:r>
              <w:rPr>
                <w:rFonts w:ascii="方正仿宋_GB2312" w:hAnsi="方正仿宋_GB2312" w:eastAsia="方正仿宋_GB2312" w:cs="方正仿宋_GB2312"/>
                <w:i w:val="0"/>
                <w:iCs w:val="0"/>
                <w:color w:val="000000"/>
                <w:kern w:val="0"/>
                <w:sz w:val="18"/>
                <w:szCs w:val="18"/>
                <w:u w:val="none"/>
                <w:lang w:val="en-US" w:eastAsia="zh-CN" w:bidi="ar"/>
              </w:rPr>
              <w:t>人。原创稿件被媒体刊登</w:t>
            </w:r>
            <w:r>
              <w:rPr>
                <w:rFonts w:hint="default" w:ascii="Times New Roman" w:hAnsi="Times New Roman" w:eastAsia="宋体" w:cs="Times New Roman"/>
                <w:i w:val="0"/>
                <w:iCs w:val="0"/>
                <w:color w:val="000000"/>
                <w:kern w:val="0"/>
                <w:sz w:val="18"/>
                <w:szCs w:val="18"/>
                <w:u w:val="none"/>
                <w:lang w:val="en-US" w:eastAsia="zh-CN" w:bidi="ar"/>
              </w:rPr>
              <w:t>30</w:t>
            </w:r>
            <w:r>
              <w:rPr>
                <w:rFonts w:ascii="方正仿宋_GB2312" w:hAnsi="方正仿宋_GB2312" w:eastAsia="方正仿宋_GB2312" w:cs="方正仿宋_GB2312"/>
                <w:i w:val="0"/>
                <w:iCs w:val="0"/>
                <w:color w:val="000000"/>
                <w:kern w:val="0"/>
                <w:sz w:val="18"/>
                <w:szCs w:val="18"/>
                <w:u w:val="none"/>
                <w:lang w:val="en-US" w:eastAsia="zh-CN" w:bidi="ar"/>
              </w:rPr>
              <w:t>篇。</w:t>
            </w:r>
          </w:p>
        </w:tc>
      </w:tr>
      <w:tr w14:paraId="7105F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BC7774">
            <w:pPr>
              <w:rPr>
                <w:rFonts w:hint="default" w:ascii="Times New Roman" w:hAnsi="Times New Roman" w:eastAsia="宋体" w:cs="Times New Roman"/>
                <w:i w:val="0"/>
                <w:iCs w:val="0"/>
                <w:color w:val="000000"/>
                <w:sz w:val="18"/>
                <w:szCs w:val="18"/>
                <w:u w:val="none"/>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7A8D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r>
              <w:rPr>
                <w:rFonts w:ascii="方正仿宋_GB2312" w:hAnsi="方正仿宋_GB2312" w:eastAsia="方正仿宋_GB2312" w:cs="方正仿宋_GB2312"/>
                <w:i w:val="0"/>
                <w:iCs w:val="0"/>
                <w:color w:val="000000"/>
                <w:kern w:val="0"/>
                <w:sz w:val="18"/>
                <w:szCs w:val="18"/>
                <w:u w:val="none"/>
                <w:lang w:val="en-US" w:eastAsia="zh-CN" w:bidi="ar"/>
              </w:rPr>
              <w:t>项目实施内容及过程概述</w:t>
            </w:r>
          </w:p>
        </w:tc>
        <w:tc>
          <w:tcPr>
            <w:tcW w:w="4124"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E145E8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围绕深入推进供给侧结构性改革，持续深化改革扩大开放，打赢脱贫攻坚和推进社会民生事业发展、推进生态优先绿色发展、加强思想文化建设、发展社会主义法治等重点难点工作，充分发挥九三的智力优势，深入开展调研。举办党派人大代表、政协委员培训班、青年骨干社员培训班。</w:t>
            </w:r>
          </w:p>
        </w:tc>
      </w:tr>
      <w:tr w14:paraId="6E048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3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1ADB9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预算执行情况（</w:t>
            </w:r>
            <w:r>
              <w:rPr>
                <w:rFonts w:hint="default" w:ascii="Times New Roman" w:hAnsi="Times New Roman" w:eastAsia="宋体" w:cs="Times New Roman"/>
                <w:i w:val="0"/>
                <w:iCs w:val="0"/>
                <w:color w:val="000000"/>
                <w:kern w:val="0"/>
                <w:sz w:val="18"/>
                <w:szCs w:val="18"/>
                <w:u w:val="none"/>
                <w:lang w:val="en-US" w:eastAsia="zh-CN" w:bidi="ar"/>
              </w:rPr>
              <w:t>10</w:t>
            </w:r>
            <w:r>
              <w:rPr>
                <w:rFonts w:ascii="方正仿宋_GB2312" w:hAnsi="方正仿宋_GB2312" w:eastAsia="方正仿宋_GB2312" w:cs="方正仿宋_GB2312"/>
                <w:i w:val="0"/>
                <w:iCs w:val="0"/>
                <w:color w:val="000000"/>
                <w:kern w:val="0"/>
                <w:sz w:val="18"/>
                <w:szCs w:val="18"/>
                <w:u w:val="none"/>
                <w:lang w:val="en-US" w:eastAsia="zh-CN" w:bidi="ar"/>
              </w:rPr>
              <w:t>分）</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AD8B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年度预算数（万元）</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29CE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年初预算</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C599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调整后预算数</w:t>
            </w:r>
          </w:p>
        </w:tc>
        <w:tc>
          <w:tcPr>
            <w:tcW w:w="10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1B574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预算执行数</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F099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预算执行率</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B3FC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权重</w:t>
            </w:r>
          </w:p>
        </w:tc>
        <w:tc>
          <w:tcPr>
            <w:tcW w:w="2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17D3B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得分</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6814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原因</w:t>
            </w:r>
          </w:p>
        </w:tc>
      </w:tr>
      <w:tr w14:paraId="4EBA5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B52C4D">
            <w:pPr>
              <w:jc w:val="center"/>
              <w:rPr>
                <w:rFonts w:hint="default" w:ascii="Times New Roman" w:hAnsi="Times New Roman" w:eastAsia="宋体" w:cs="Times New Roman"/>
                <w:i w:val="0"/>
                <w:iCs w:val="0"/>
                <w:color w:val="000000"/>
                <w:sz w:val="18"/>
                <w:szCs w:val="18"/>
                <w:u w:val="none"/>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6C28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总额</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9C27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166.09</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EC41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166.09</w:t>
            </w:r>
          </w:p>
        </w:tc>
        <w:tc>
          <w:tcPr>
            <w:tcW w:w="10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0A5B4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165.64</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C23D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99.73%</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A76F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2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DA4A3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10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B15266">
            <w:pPr>
              <w:keepNext w:val="0"/>
              <w:keepLines w:val="0"/>
              <w:widowControl/>
              <w:suppressLineNumbers w:val="0"/>
              <w:jc w:val="left"/>
              <w:textAlignment w:val="center"/>
              <w:rPr>
                <w:rFonts w:hint="default" w:ascii="Times New Roman" w:hAnsi="Times New Roman" w:eastAsia="宋体" w:cs="Times New Roman"/>
                <w:i/>
                <w:iCs/>
                <w:color w:val="000000"/>
                <w:sz w:val="18"/>
                <w:szCs w:val="18"/>
                <w:u w:val="none"/>
              </w:rPr>
            </w:pPr>
            <w:r>
              <w:rPr>
                <w:rFonts w:hint="default" w:ascii="Times New Roman" w:hAnsi="Times New Roman" w:eastAsia="宋体" w:cs="Times New Roman"/>
                <w:i/>
                <w:iCs/>
                <w:color w:val="000000"/>
                <w:kern w:val="0"/>
                <w:sz w:val="18"/>
                <w:szCs w:val="18"/>
                <w:u w:val="none"/>
                <w:lang w:val="en-US" w:eastAsia="zh-CN" w:bidi="ar"/>
              </w:rPr>
              <w:t>1.</w:t>
            </w:r>
            <w:r>
              <w:rPr>
                <w:rFonts w:hint="eastAsia" w:ascii="方正仿宋_GB2312" w:hAnsi="方正仿宋_GB2312" w:eastAsia="方正仿宋_GB2312" w:cs="方正仿宋_GB2312"/>
                <w:i/>
                <w:iCs/>
                <w:color w:val="000000"/>
                <w:kern w:val="0"/>
                <w:sz w:val="18"/>
                <w:szCs w:val="18"/>
                <w:u w:val="none"/>
                <w:lang w:val="en-US" w:eastAsia="zh-CN" w:bidi="ar"/>
              </w:rPr>
              <w:t>预算执行率</w:t>
            </w:r>
            <w:r>
              <w:rPr>
                <w:rFonts w:hint="default" w:ascii="Times New Roman" w:hAnsi="Times New Roman" w:eastAsia="宋体" w:cs="Times New Roman"/>
                <w:i/>
                <w:iCs/>
                <w:color w:val="000000"/>
                <w:kern w:val="0"/>
                <w:sz w:val="18"/>
                <w:szCs w:val="18"/>
                <w:u w:val="none"/>
                <w:lang w:val="en-US" w:eastAsia="zh-CN" w:bidi="ar"/>
              </w:rPr>
              <w:t>=</w:t>
            </w:r>
            <w:r>
              <w:rPr>
                <w:rFonts w:hint="eastAsia" w:ascii="方正仿宋_GB2312" w:hAnsi="方正仿宋_GB2312" w:eastAsia="方正仿宋_GB2312" w:cs="方正仿宋_GB2312"/>
                <w:i/>
                <w:iCs/>
                <w:color w:val="000000"/>
                <w:kern w:val="0"/>
                <w:sz w:val="18"/>
                <w:szCs w:val="18"/>
                <w:u w:val="none"/>
                <w:lang w:val="en-US" w:eastAsia="zh-CN" w:bidi="ar"/>
              </w:rPr>
              <w:t>预算执行数</w:t>
            </w:r>
            <w:r>
              <w:rPr>
                <w:rFonts w:hint="default" w:ascii="Times New Roman" w:hAnsi="Times New Roman" w:eastAsia="宋体" w:cs="Times New Roman"/>
                <w:i/>
                <w:iCs/>
                <w:color w:val="000000"/>
                <w:kern w:val="0"/>
                <w:sz w:val="18"/>
                <w:szCs w:val="18"/>
                <w:u w:val="none"/>
                <w:lang w:val="en-US" w:eastAsia="zh-CN" w:bidi="ar"/>
              </w:rPr>
              <w:t>/</w:t>
            </w:r>
            <w:r>
              <w:rPr>
                <w:rFonts w:hint="eastAsia" w:ascii="方正仿宋_GB2312" w:hAnsi="方正仿宋_GB2312" w:eastAsia="方正仿宋_GB2312" w:cs="方正仿宋_GB2312"/>
                <w:i/>
                <w:iCs/>
                <w:color w:val="000000"/>
                <w:kern w:val="0"/>
                <w:sz w:val="18"/>
                <w:szCs w:val="18"/>
                <w:u w:val="none"/>
                <w:lang w:val="en-US" w:eastAsia="zh-CN" w:bidi="ar"/>
              </w:rPr>
              <w:t>调整后预算数，预算执行率未达到</w:t>
            </w:r>
            <w:r>
              <w:rPr>
                <w:rFonts w:hint="default" w:ascii="Times New Roman" w:hAnsi="Times New Roman" w:eastAsia="宋体" w:cs="Times New Roman"/>
                <w:i/>
                <w:iCs/>
                <w:color w:val="000000"/>
                <w:kern w:val="0"/>
                <w:sz w:val="18"/>
                <w:szCs w:val="18"/>
                <w:u w:val="none"/>
                <w:lang w:val="en-US" w:eastAsia="zh-CN" w:bidi="ar"/>
              </w:rPr>
              <w:t>90%</w:t>
            </w:r>
            <w:r>
              <w:rPr>
                <w:rFonts w:hint="eastAsia" w:ascii="方正仿宋_GB2312" w:hAnsi="方正仿宋_GB2312" w:eastAsia="方正仿宋_GB2312" w:cs="方正仿宋_GB2312"/>
                <w:i/>
                <w:iCs/>
                <w:color w:val="000000"/>
                <w:kern w:val="0"/>
                <w:sz w:val="18"/>
                <w:szCs w:val="18"/>
                <w:u w:val="none"/>
                <w:lang w:val="en-US" w:eastAsia="zh-CN" w:bidi="ar"/>
              </w:rPr>
              <w:t>的需说明原因（</w:t>
            </w:r>
            <w:r>
              <w:rPr>
                <w:rFonts w:hint="default" w:ascii="Times New Roman" w:hAnsi="Times New Roman" w:eastAsia="宋体" w:cs="Times New Roman"/>
                <w:i/>
                <w:iCs/>
                <w:color w:val="000000"/>
                <w:kern w:val="0"/>
                <w:sz w:val="18"/>
                <w:szCs w:val="18"/>
                <w:u w:val="none"/>
                <w:lang w:val="en-US" w:eastAsia="zh-CN" w:bidi="ar"/>
              </w:rPr>
              <w:t>100</w:t>
            </w:r>
            <w:r>
              <w:rPr>
                <w:rFonts w:hint="eastAsia" w:ascii="方正仿宋_GB2312" w:hAnsi="方正仿宋_GB2312" w:eastAsia="方正仿宋_GB2312" w:cs="方正仿宋_GB2312"/>
                <w:i/>
                <w:iCs/>
                <w:color w:val="000000"/>
                <w:kern w:val="0"/>
                <w:sz w:val="18"/>
                <w:szCs w:val="18"/>
                <w:u w:val="none"/>
                <w:lang w:val="en-US" w:eastAsia="zh-CN" w:bidi="ar"/>
              </w:rPr>
              <w:t>字以内）</w:t>
            </w:r>
            <w:r>
              <w:rPr>
                <w:rFonts w:hint="default" w:ascii="Times New Roman" w:hAnsi="Times New Roman" w:eastAsia="宋体" w:cs="Times New Roman"/>
                <w:i/>
                <w:iCs/>
                <w:color w:val="000000"/>
                <w:kern w:val="0"/>
                <w:sz w:val="18"/>
                <w:szCs w:val="18"/>
                <w:u w:val="none"/>
                <w:lang w:val="en-US" w:eastAsia="zh-CN" w:bidi="ar"/>
              </w:rPr>
              <w:t>;2.</w:t>
            </w:r>
            <w:r>
              <w:rPr>
                <w:rFonts w:hint="eastAsia" w:ascii="方正仿宋_GB2312" w:hAnsi="方正仿宋_GB2312" w:eastAsia="方正仿宋_GB2312" w:cs="方正仿宋_GB2312"/>
                <w:i/>
                <w:iCs/>
                <w:color w:val="000000"/>
                <w:kern w:val="0"/>
                <w:sz w:val="18"/>
                <w:szCs w:val="18"/>
                <w:u w:val="none"/>
                <w:lang w:val="en-US" w:eastAsia="zh-CN" w:bidi="ar"/>
              </w:rPr>
              <w:t>年中发生预算调整的（追加或调减）</w:t>
            </w:r>
            <w:r>
              <w:rPr>
                <w:rFonts w:hint="default" w:ascii="Times New Roman" w:hAnsi="Times New Roman" w:eastAsia="宋体" w:cs="Times New Roman"/>
                <w:i/>
                <w:iCs/>
                <w:color w:val="000000"/>
                <w:kern w:val="0"/>
                <w:sz w:val="18"/>
                <w:szCs w:val="18"/>
                <w:u w:val="none"/>
                <w:lang w:val="en-US" w:eastAsia="zh-CN" w:bidi="ar"/>
              </w:rPr>
              <w:t>,</w:t>
            </w:r>
            <w:r>
              <w:rPr>
                <w:rFonts w:hint="eastAsia" w:ascii="方正仿宋_GB2312" w:hAnsi="方正仿宋_GB2312" w:eastAsia="方正仿宋_GB2312" w:cs="方正仿宋_GB2312"/>
                <w:i/>
                <w:iCs/>
                <w:color w:val="000000"/>
                <w:kern w:val="0"/>
                <w:sz w:val="18"/>
                <w:szCs w:val="18"/>
                <w:u w:val="none"/>
                <w:lang w:val="en-US" w:eastAsia="zh-CN" w:bidi="ar"/>
              </w:rPr>
              <w:t>应单独说明理由；</w:t>
            </w:r>
            <w:r>
              <w:rPr>
                <w:rFonts w:hint="default" w:ascii="Times New Roman" w:hAnsi="Times New Roman" w:eastAsia="宋体" w:cs="Times New Roman"/>
                <w:i/>
                <w:iCs/>
                <w:color w:val="000000"/>
                <w:kern w:val="0"/>
                <w:sz w:val="18"/>
                <w:szCs w:val="18"/>
                <w:u w:val="none"/>
                <w:lang w:val="en-US" w:eastAsia="zh-CN" w:bidi="ar"/>
              </w:rPr>
              <w:t>3.</w:t>
            </w:r>
            <w:r>
              <w:rPr>
                <w:rFonts w:hint="eastAsia" w:ascii="方正仿宋_GB2312" w:hAnsi="方正仿宋_GB2312" w:eastAsia="方正仿宋_GB2312" w:cs="方正仿宋_GB2312"/>
                <w:i/>
                <w:iCs/>
                <w:color w:val="000000"/>
                <w:kern w:val="0"/>
                <w:sz w:val="18"/>
                <w:szCs w:val="18"/>
                <w:u w:val="none"/>
                <w:lang w:val="en-US" w:eastAsia="zh-CN" w:bidi="ar"/>
              </w:rPr>
              <w:t>其他资金包括：社会投入资金、银行贷款</w:t>
            </w:r>
            <w:r>
              <w:rPr>
                <w:rFonts w:hint="default" w:ascii="Times New Roman" w:hAnsi="Times New Roman" w:eastAsia="宋体" w:cs="Times New Roman"/>
                <w:i/>
                <w:iCs/>
                <w:color w:val="000000"/>
                <w:kern w:val="0"/>
                <w:sz w:val="18"/>
                <w:szCs w:val="18"/>
                <w:u w:val="none"/>
                <w:lang w:val="en-US" w:eastAsia="zh-CN" w:bidi="ar"/>
              </w:rPr>
              <w:t>.</w:t>
            </w:r>
          </w:p>
        </w:tc>
      </w:tr>
      <w:tr w14:paraId="4D071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6F520B">
            <w:pPr>
              <w:jc w:val="center"/>
              <w:rPr>
                <w:rFonts w:hint="default" w:ascii="Times New Roman" w:hAnsi="Times New Roman" w:eastAsia="宋体" w:cs="Times New Roman"/>
                <w:i w:val="0"/>
                <w:iCs w:val="0"/>
                <w:color w:val="000000"/>
                <w:sz w:val="18"/>
                <w:szCs w:val="18"/>
                <w:u w:val="none"/>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E27F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其中：财政资金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1CA4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166.09</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9B34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166.09</w:t>
            </w:r>
          </w:p>
        </w:tc>
        <w:tc>
          <w:tcPr>
            <w:tcW w:w="10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9DC47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165.64</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BAFF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99.73%</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D2BC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2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48531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0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B072F0">
            <w:pPr>
              <w:rPr>
                <w:rFonts w:hint="default" w:ascii="Times New Roman" w:hAnsi="Times New Roman" w:eastAsia="宋体" w:cs="Times New Roman"/>
                <w:i/>
                <w:iCs/>
                <w:color w:val="000000"/>
                <w:sz w:val="18"/>
                <w:szCs w:val="18"/>
                <w:u w:val="none"/>
              </w:rPr>
            </w:pPr>
          </w:p>
        </w:tc>
      </w:tr>
      <w:tr w14:paraId="30357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00682B">
            <w:pPr>
              <w:jc w:val="center"/>
              <w:rPr>
                <w:rFonts w:hint="default" w:ascii="Times New Roman" w:hAnsi="Times New Roman" w:eastAsia="宋体" w:cs="Times New Roman"/>
                <w:i w:val="0"/>
                <w:iCs w:val="0"/>
                <w:color w:val="000000"/>
                <w:sz w:val="18"/>
                <w:szCs w:val="18"/>
                <w:u w:val="none"/>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92F6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财政专户管理资金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AB0E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C669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0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83225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4F39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CEE9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2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A815B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0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39800">
            <w:pPr>
              <w:rPr>
                <w:rFonts w:hint="default" w:ascii="Times New Roman" w:hAnsi="Times New Roman" w:eastAsia="宋体" w:cs="Times New Roman"/>
                <w:i/>
                <w:iCs/>
                <w:color w:val="000000"/>
                <w:sz w:val="18"/>
                <w:szCs w:val="18"/>
                <w:u w:val="none"/>
              </w:rPr>
            </w:pPr>
          </w:p>
        </w:tc>
      </w:tr>
      <w:tr w14:paraId="78E5B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2CCC3E">
            <w:pPr>
              <w:jc w:val="center"/>
              <w:rPr>
                <w:rFonts w:hint="default" w:ascii="Times New Roman" w:hAnsi="Times New Roman" w:eastAsia="宋体" w:cs="Times New Roman"/>
                <w:i w:val="0"/>
                <w:iCs w:val="0"/>
                <w:color w:val="000000"/>
                <w:sz w:val="18"/>
                <w:szCs w:val="18"/>
                <w:u w:val="none"/>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EA59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单位资金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7C1A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FDBE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0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E5B89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0652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AD60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2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57230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0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697884">
            <w:pPr>
              <w:rPr>
                <w:rFonts w:hint="default" w:ascii="Times New Roman" w:hAnsi="Times New Roman" w:eastAsia="宋体" w:cs="Times New Roman"/>
                <w:i/>
                <w:iCs/>
                <w:color w:val="000000"/>
                <w:sz w:val="18"/>
                <w:szCs w:val="18"/>
                <w:u w:val="none"/>
              </w:rPr>
            </w:pPr>
          </w:p>
        </w:tc>
      </w:tr>
      <w:tr w14:paraId="201D0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295D51">
            <w:pPr>
              <w:jc w:val="center"/>
              <w:rPr>
                <w:rFonts w:hint="default" w:ascii="Times New Roman" w:hAnsi="Times New Roman" w:eastAsia="宋体" w:cs="Times New Roman"/>
                <w:i w:val="0"/>
                <w:iCs w:val="0"/>
                <w:color w:val="000000"/>
                <w:sz w:val="18"/>
                <w:szCs w:val="18"/>
                <w:u w:val="none"/>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C00A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其他资金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4A0AA">
            <w:pPr>
              <w:jc w:val="center"/>
              <w:rPr>
                <w:rFonts w:hint="default" w:ascii="Times New Roman" w:hAnsi="Times New Roman" w:eastAsia="宋体" w:cs="Times New Roman"/>
                <w:i/>
                <w:iCs/>
                <w:color w:val="000000"/>
                <w:sz w:val="16"/>
                <w:szCs w:val="16"/>
                <w:u w:val="none"/>
              </w:rPr>
            </w:pP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5F49D">
            <w:pPr>
              <w:jc w:val="center"/>
              <w:rPr>
                <w:rFonts w:hint="default" w:ascii="Times New Roman" w:hAnsi="Times New Roman" w:eastAsia="宋体" w:cs="Times New Roman"/>
                <w:i/>
                <w:iCs/>
                <w:color w:val="000000"/>
                <w:sz w:val="16"/>
                <w:szCs w:val="16"/>
                <w:u w:val="none"/>
              </w:rPr>
            </w:pPr>
          </w:p>
        </w:tc>
        <w:tc>
          <w:tcPr>
            <w:tcW w:w="10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2F461E">
            <w:pPr>
              <w:jc w:val="center"/>
              <w:rPr>
                <w:rFonts w:hint="default" w:ascii="Times New Roman" w:hAnsi="Times New Roman" w:eastAsia="宋体" w:cs="Times New Roman"/>
                <w:i/>
                <w:iCs/>
                <w:color w:val="000000"/>
                <w:sz w:val="16"/>
                <w:szCs w:val="16"/>
                <w:u w:val="none"/>
              </w:rPr>
            </w:pP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6D906">
            <w:pPr>
              <w:jc w:val="center"/>
              <w:rPr>
                <w:rFonts w:hint="default" w:ascii="Times New Roman" w:hAnsi="Times New Roman" w:eastAsia="宋体" w:cs="Times New Roman"/>
                <w:i/>
                <w:iCs/>
                <w:color w:val="000000"/>
                <w:sz w:val="16"/>
                <w:szCs w:val="16"/>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6EC3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2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6A48D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0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CE931B">
            <w:pPr>
              <w:rPr>
                <w:rFonts w:hint="default" w:ascii="Times New Roman" w:hAnsi="Times New Roman" w:eastAsia="宋体" w:cs="Times New Roman"/>
                <w:i/>
                <w:iCs/>
                <w:color w:val="000000"/>
                <w:sz w:val="18"/>
                <w:szCs w:val="18"/>
                <w:u w:val="none"/>
              </w:rPr>
            </w:pPr>
          </w:p>
        </w:tc>
      </w:tr>
      <w:tr w14:paraId="117B4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45AE8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绩效指标（</w:t>
            </w:r>
            <w:r>
              <w:rPr>
                <w:rFonts w:hint="default" w:ascii="Times New Roman" w:hAnsi="Times New Roman" w:eastAsia="宋体" w:cs="Times New Roman"/>
                <w:i w:val="0"/>
                <w:iCs w:val="0"/>
                <w:color w:val="000000"/>
                <w:kern w:val="0"/>
                <w:sz w:val="18"/>
                <w:szCs w:val="18"/>
                <w:u w:val="none"/>
                <w:lang w:val="en-US" w:eastAsia="zh-CN" w:bidi="ar"/>
              </w:rPr>
              <w:t>90</w:t>
            </w:r>
            <w:r>
              <w:rPr>
                <w:rFonts w:ascii="方正仿宋_GB2312" w:hAnsi="方正仿宋_GB2312" w:eastAsia="方正仿宋_GB2312" w:cs="方正仿宋_GB2312"/>
                <w:i w:val="0"/>
                <w:iCs w:val="0"/>
                <w:color w:val="000000"/>
                <w:kern w:val="0"/>
                <w:sz w:val="18"/>
                <w:szCs w:val="18"/>
                <w:u w:val="none"/>
                <w:lang w:val="en-US" w:eastAsia="zh-CN" w:bidi="ar"/>
              </w:rPr>
              <w:t>分）</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E2E3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一级指标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BF16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二级指标</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0936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三级指标</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7BCC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指标性质</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4797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指标值</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2095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度量单位</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82B2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完成值</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81B8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权重</w:t>
            </w:r>
          </w:p>
        </w:tc>
        <w:tc>
          <w:tcPr>
            <w:tcW w:w="2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6BBE8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得分</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F3E3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未完成原因分析</w:t>
            </w:r>
          </w:p>
        </w:tc>
      </w:tr>
      <w:tr w14:paraId="46A16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14BF0E">
            <w:pPr>
              <w:jc w:val="center"/>
              <w:rPr>
                <w:rFonts w:hint="default" w:ascii="Times New Roman" w:hAnsi="Times New Roman" w:eastAsia="宋体" w:cs="Times New Roman"/>
                <w:i w:val="0"/>
                <w:iCs w:val="0"/>
                <w:color w:val="000000"/>
                <w:sz w:val="18"/>
                <w:szCs w:val="18"/>
                <w:u w:val="none"/>
              </w:rPr>
            </w:pPr>
          </w:p>
        </w:tc>
        <w:tc>
          <w:tcPr>
            <w:tcW w:w="5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51A3B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产出指标</w:t>
            </w:r>
          </w:p>
        </w:tc>
        <w:tc>
          <w:tcPr>
            <w:tcW w:w="47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B8B3F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数量指标</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2C8F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干部培训</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AE12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47A0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200</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D766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人</w:t>
            </w:r>
            <w:r>
              <w:rPr>
                <w:rFonts w:hint="default" w:ascii="Times New Roman" w:hAnsi="Times New Roman" w:eastAsia="宋体" w:cs="Times New Roman"/>
                <w:i w:val="0"/>
                <w:iCs w:val="0"/>
                <w:color w:val="000000"/>
                <w:kern w:val="0"/>
                <w:sz w:val="18"/>
                <w:szCs w:val="18"/>
                <w:u w:val="none"/>
                <w:lang w:val="en-US" w:eastAsia="zh-CN" w:bidi="ar"/>
              </w:rPr>
              <w:t>/</w:t>
            </w:r>
            <w:r>
              <w:rPr>
                <w:rFonts w:ascii="方正仿宋_GB2312" w:hAnsi="方正仿宋_GB2312" w:eastAsia="方正仿宋_GB2312" w:cs="方正仿宋_GB2312"/>
                <w:i w:val="0"/>
                <w:iCs w:val="0"/>
                <w:color w:val="000000"/>
                <w:kern w:val="0"/>
                <w:sz w:val="18"/>
                <w:szCs w:val="18"/>
                <w:u w:val="none"/>
                <w:lang w:val="en-US" w:eastAsia="zh-CN" w:bidi="ar"/>
              </w:rPr>
              <w:t>次</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50816">
            <w:pPr>
              <w:keepNext w:val="0"/>
              <w:keepLines w:val="0"/>
              <w:widowControl/>
              <w:suppressLineNumbers w:val="0"/>
              <w:jc w:val="center"/>
              <w:textAlignment w:val="center"/>
              <w:rPr>
                <w:rFonts w:hint="default" w:ascii="Times New Roman" w:hAnsi="Times New Roman" w:eastAsia="宋体" w:cs="Times New Roman"/>
                <w:i/>
                <w:iCs/>
                <w:color w:val="000000"/>
                <w:sz w:val="18"/>
                <w:szCs w:val="18"/>
                <w:u w:val="none"/>
              </w:rPr>
            </w:pPr>
            <w:r>
              <w:rPr>
                <w:rFonts w:hint="default" w:ascii="Times New Roman" w:hAnsi="Times New Roman" w:eastAsia="宋体" w:cs="Times New Roman"/>
                <w:i/>
                <w:iCs/>
                <w:color w:val="000000"/>
                <w:kern w:val="0"/>
                <w:sz w:val="18"/>
                <w:szCs w:val="18"/>
                <w:u w:val="none"/>
                <w:lang w:val="en-US" w:eastAsia="zh-CN" w:bidi="ar"/>
              </w:rPr>
              <w:t>200</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BA98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w:t>
            </w:r>
          </w:p>
        </w:tc>
        <w:tc>
          <w:tcPr>
            <w:tcW w:w="2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3020E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E7A2B">
            <w:pPr>
              <w:jc w:val="center"/>
              <w:rPr>
                <w:rFonts w:hint="default" w:ascii="Times New Roman" w:hAnsi="Times New Roman" w:eastAsia="宋体" w:cs="Times New Roman"/>
                <w:i/>
                <w:iCs/>
                <w:color w:val="000000"/>
                <w:sz w:val="16"/>
                <w:szCs w:val="16"/>
                <w:u w:val="none"/>
              </w:rPr>
            </w:pPr>
          </w:p>
        </w:tc>
      </w:tr>
      <w:tr w14:paraId="0047E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9B4FD1">
            <w:pPr>
              <w:jc w:val="center"/>
              <w:rPr>
                <w:rFonts w:hint="default" w:ascii="Times New Roman" w:hAnsi="Times New Roman" w:eastAsia="宋体" w:cs="Times New Roman"/>
                <w:i w:val="0"/>
                <w:iCs w:val="0"/>
                <w:color w:val="000000"/>
                <w:sz w:val="18"/>
                <w:szCs w:val="18"/>
                <w:u w:val="none"/>
              </w:rPr>
            </w:pPr>
          </w:p>
        </w:tc>
        <w:tc>
          <w:tcPr>
            <w:tcW w:w="5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F11FC9">
            <w:pPr>
              <w:jc w:val="center"/>
              <w:rPr>
                <w:rFonts w:hint="default" w:ascii="Times New Roman" w:hAnsi="Times New Roman" w:eastAsia="宋体" w:cs="Times New Roman"/>
                <w:i w:val="0"/>
                <w:iCs w:val="0"/>
                <w:color w:val="000000"/>
                <w:sz w:val="18"/>
                <w:szCs w:val="18"/>
                <w:u w:val="none"/>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8B6FE1">
            <w:pPr>
              <w:jc w:val="center"/>
              <w:rPr>
                <w:rFonts w:hint="default" w:ascii="Times New Roman" w:hAnsi="Times New Roman" w:eastAsia="宋体" w:cs="Times New Roman"/>
                <w:i w:val="0"/>
                <w:iCs w:val="0"/>
                <w:color w:val="000000"/>
                <w:sz w:val="18"/>
                <w:szCs w:val="18"/>
                <w:u w:val="none"/>
              </w:rPr>
            </w:pP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A296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组织社员撰写高质量调研报告</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C730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EA63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40</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D5E3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篇</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FDC94">
            <w:pPr>
              <w:keepNext w:val="0"/>
              <w:keepLines w:val="0"/>
              <w:widowControl/>
              <w:suppressLineNumbers w:val="0"/>
              <w:jc w:val="center"/>
              <w:textAlignment w:val="center"/>
              <w:rPr>
                <w:rFonts w:hint="default" w:ascii="Times New Roman" w:hAnsi="Times New Roman" w:eastAsia="宋体" w:cs="Times New Roman"/>
                <w:i/>
                <w:iCs/>
                <w:color w:val="000000"/>
                <w:sz w:val="18"/>
                <w:szCs w:val="18"/>
                <w:u w:val="none"/>
              </w:rPr>
            </w:pPr>
            <w:r>
              <w:rPr>
                <w:rFonts w:hint="default" w:ascii="Times New Roman" w:hAnsi="Times New Roman" w:eastAsia="宋体" w:cs="Times New Roman"/>
                <w:i/>
                <w:iCs/>
                <w:color w:val="000000"/>
                <w:kern w:val="0"/>
                <w:sz w:val="18"/>
                <w:szCs w:val="18"/>
                <w:u w:val="none"/>
                <w:lang w:val="en-US" w:eastAsia="zh-CN" w:bidi="ar"/>
              </w:rPr>
              <w:t>37</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6155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w:t>
            </w:r>
          </w:p>
        </w:tc>
        <w:tc>
          <w:tcPr>
            <w:tcW w:w="2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2D7E4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9E7F6">
            <w:pPr>
              <w:jc w:val="center"/>
              <w:rPr>
                <w:rFonts w:hint="default" w:ascii="Times New Roman" w:hAnsi="Times New Roman" w:eastAsia="宋体" w:cs="Times New Roman"/>
                <w:i/>
                <w:iCs/>
                <w:color w:val="000000"/>
                <w:sz w:val="16"/>
                <w:szCs w:val="16"/>
                <w:u w:val="none"/>
              </w:rPr>
            </w:pPr>
          </w:p>
        </w:tc>
      </w:tr>
      <w:tr w14:paraId="6EE2A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3EFC70">
            <w:pPr>
              <w:jc w:val="center"/>
              <w:rPr>
                <w:rFonts w:hint="default" w:ascii="Times New Roman" w:hAnsi="Times New Roman" w:eastAsia="宋体" w:cs="Times New Roman"/>
                <w:i w:val="0"/>
                <w:iCs w:val="0"/>
                <w:color w:val="000000"/>
                <w:sz w:val="18"/>
                <w:szCs w:val="18"/>
                <w:u w:val="none"/>
              </w:rPr>
            </w:pPr>
          </w:p>
        </w:tc>
        <w:tc>
          <w:tcPr>
            <w:tcW w:w="5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39B987">
            <w:pPr>
              <w:jc w:val="center"/>
              <w:rPr>
                <w:rFonts w:hint="default" w:ascii="Times New Roman" w:hAnsi="Times New Roman" w:eastAsia="宋体" w:cs="Times New Roman"/>
                <w:i w:val="0"/>
                <w:iCs w:val="0"/>
                <w:color w:val="000000"/>
                <w:sz w:val="18"/>
                <w:szCs w:val="18"/>
                <w:u w:val="none"/>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1F108D">
            <w:pPr>
              <w:jc w:val="center"/>
              <w:rPr>
                <w:rFonts w:hint="default" w:ascii="Times New Roman" w:hAnsi="Times New Roman" w:eastAsia="宋体" w:cs="Times New Roman"/>
                <w:i w:val="0"/>
                <w:iCs w:val="0"/>
                <w:color w:val="000000"/>
                <w:sz w:val="18"/>
                <w:szCs w:val="18"/>
                <w:u w:val="none"/>
              </w:rPr>
            </w:pP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22B6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原创稿件被媒体刊登</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6D9F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3E62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69F0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篇</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7CAE4">
            <w:pPr>
              <w:keepNext w:val="0"/>
              <w:keepLines w:val="0"/>
              <w:widowControl/>
              <w:suppressLineNumbers w:val="0"/>
              <w:jc w:val="center"/>
              <w:textAlignment w:val="center"/>
              <w:rPr>
                <w:rFonts w:hint="default" w:ascii="Times New Roman" w:hAnsi="Times New Roman" w:eastAsia="宋体" w:cs="Times New Roman"/>
                <w:i/>
                <w:iCs/>
                <w:color w:val="000000"/>
                <w:sz w:val="18"/>
                <w:szCs w:val="18"/>
                <w:u w:val="none"/>
              </w:rPr>
            </w:pPr>
            <w:r>
              <w:rPr>
                <w:rFonts w:hint="default" w:ascii="Times New Roman" w:hAnsi="Times New Roman" w:eastAsia="宋体" w:cs="Times New Roman"/>
                <w:i/>
                <w:iCs/>
                <w:color w:val="000000"/>
                <w:kern w:val="0"/>
                <w:sz w:val="18"/>
                <w:szCs w:val="18"/>
                <w:u w:val="none"/>
                <w:lang w:val="en-US" w:eastAsia="zh-CN" w:bidi="ar"/>
              </w:rPr>
              <w:t>30</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67DE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2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32662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78F4B">
            <w:pPr>
              <w:jc w:val="center"/>
              <w:rPr>
                <w:rFonts w:hint="default" w:ascii="Times New Roman" w:hAnsi="Times New Roman" w:eastAsia="宋体" w:cs="Times New Roman"/>
                <w:i/>
                <w:iCs/>
                <w:color w:val="000000"/>
                <w:sz w:val="16"/>
                <w:szCs w:val="16"/>
                <w:u w:val="none"/>
              </w:rPr>
            </w:pPr>
          </w:p>
        </w:tc>
      </w:tr>
      <w:tr w14:paraId="23200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0299B8">
            <w:pPr>
              <w:jc w:val="center"/>
              <w:rPr>
                <w:rFonts w:hint="default" w:ascii="Times New Roman" w:hAnsi="Times New Roman" w:eastAsia="宋体" w:cs="Times New Roman"/>
                <w:i w:val="0"/>
                <w:iCs w:val="0"/>
                <w:color w:val="000000"/>
                <w:sz w:val="18"/>
                <w:szCs w:val="18"/>
                <w:u w:val="none"/>
              </w:rPr>
            </w:pPr>
          </w:p>
        </w:tc>
        <w:tc>
          <w:tcPr>
            <w:tcW w:w="5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3C7C3B">
            <w:pPr>
              <w:jc w:val="center"/>
              <w:rPr>
                <w:rFonts w:hint="default" w:ascii="Times New Roman" w:hAnsi="Times New Roman" w:eastAsia="宋体" w:cs="Times New Roman"/>
                <w:i w:val="0"/>
                <w:iCs w:val="0"/>
                <w:color w:val="000000"/>
                <w:sz w:val="18"/>
                <w:szCs w:val="18"/>
                <w:u w:val="none"/>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651B9A">
            <w:pPr>
              <w:jc w:val="center"/>
              <w:rPr>
                <w:rFonts w:hint="default" w:ascii="Times New Roman" w:hAnsi="Times New Roman" w:eastAsia="宋体" w:cs="Times New Roman"/>
                <w:i w:val="0"/>
                <w:iCs w:val="0"/>
                <w:color w:val="000000"/>
                <w:sz w:val="18"/>
                <w:szCs w:val="18"/>
                <w:u w:val="none"/>
              </w:rPr>
            </w:pP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99D7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参加高层协商会</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DDB7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6A9D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68F1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次</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1859B">
            <w:pPr>
              <w:keepNext w:val="0"/>
              <w:keepLines w:val="0"/>
              <w:widowControl/>
              <w:suppressLineNumbers w:val="0"/>
              <w:jc w:val="center"/>
              <w:textAlignment w:val="center"/>
              <w:rPr>
                <w:rFonts w:hint="default" w:ascii="Times New Roman" w:hAnsi="Times New Roman" w:eastAsia="宋体" w:cs="Times New Roman"/>
                <w:i/>
                <w:iCs/>
                <w:color w:val="000000"/>
                <w:sz w:val="18"/>
                <w:szCs w:val="18"/>
                <w:u w:val="none"/>
              </w:rPr>
            </w:pPr>
            <w:r>
              <w:rPr>
                <w:rFonts w:hint="default" w:ascii="Times New Roman" w:hAnsi="Times New Roman" w:eastAsia="宋体" w:cs="Times New Roman"/>
                <w:i/>
                <w:iCs/>
                <w:color w:val="000000"/>
                <w:kern w:val="0"/>
                <w:sz w:val="18"/>
                <w:szCs w:val="18"/>
                <w:u w:val="none"/>
                <w:lang w:val="en-US" w:eastAsia="zh-CN" w:bidi="ar"/>
              </w:rPr>
              <w:t>3</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5FF0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w:t>
            </w:r>
          </w:p>
        </w:tc>
        <w:tc>
          <w:tcPr>
            <w:tcW w:w="2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0DDD6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BECAA">
            <w:pPr>
              <w:jc w:val="center"/>
              <w:rPr>
                <w:rFonts w:hint="default" w:ascii="Times New Roman" w:hAnsi="Times New Roman" w:eastAsia="宋体" w:cs="Times New Roman"/>
                <w:i/>
                <w:iCs/>
                <w:color w:val="000000"/>
                <w:sz w:val="16"/>
                <w:szCs w:val="16"/>
                <w:u w:val="none"/>
              </w:rPr>
            </w:pPr>
          </w:p>
        </w:tc>
      </w:tr>
      <w:tr w14:paraId="04C0C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230B20">
            <w:pPr>
              <w:jc w:val="center"/>
              <w:rPr>
                <w:rFonts w:hint="default" w:ascii="Times New Roman" w:hAnsi="Times New Roman" w:eastAsia="宋体" w:cs="Times New Roman"/>
                <w:i w:val="0"/>
                <w:iCs w:val="0"/>
                <w:color w:val="000000"/>
                <w:sz w:val="18"/>
                <w:szCs w:val="18"/>
                <w:u w:val="none"/>
              </w:rPr>
            </w:pPr>
          </w:p>
        </w:tc>
        <w:tc>
          <w:tcPr>
            <w:tcW w:w="5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694BFC">
            <w:pPr>
              <w:jc w:val="center"/>
              <w:rPr>
                <w:rFonts w:hint="default" w:ascii="Times New Roman" w:hAnsi="Times New Roman" w:eastAsia="宋体" w:cs="Times New Roman"/>
                <w:i w:val="0"/>
                <w:iCs w:val="0"/>
                <w:color w:val="000000"/>
                <w:sz w:val="18"/>
                <w:szCs w:val="18"/>
                <w:u w:val="none"/>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6654B9">
            <w:pPr>
              <w:jc w:val="center"/>
              <w:rPr>
                <w:rFonts w:hint="default" w:ascii="Times New Roman" w:hAnsi="Times New Roman" w:eastAsia="宋体" w:cs="Times New Roman"/>
                <w:i w:val="0"/>
                <w:iCs w:val="0"/>
                <w:color w:val="000000"/>
                <w:sz w:val="18"/>
                <w:szCs w:val="18"/>
                <w:u w:val="none"/>
              </w:rPr>
            </w:pP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9E9A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提交省两会集体提案</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0ACB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5867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27DB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件</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8B703">
            <w:pPr>
              <w:keepNext w:val="0"/>
              <w:keepLines w:val="0"/>
              <w:widowControl/>
              <w:suppressLineNumbers w:val="0"/>
              <w:jc w:val="center"/>
              <w:textAlignment w:val="center"/>
              <w:rPr>
                <w:rFonts w:hint="default" w:ascii="Times New Roman" w:hAnsi="Times New Roman" w:eastAsia="宋体" w:cs="Times New Roman"/>
                <w:i/>
                <w:iCs/>
                <w:color w:val="000000"/>
                <w:sz w:val="18"/>
                <w:szCs w:val="18"/>
                <w:u w:val="none"/>
              </w:rPr>
            </w:pPr>
            <w:r>
              <w:rPr>
                <w:rFonts w:hint="default" w:ascii="Times New Roman" w:hAnsi="Times New Roman" w:eastAsia="宋体" w:cs="Times New Roman"/>
                <w:i/>
                <w:iCs/>
                <w:color w:val="000000"/>
                <w:kern w:val="0"/>
                <w:sz w:val="18"/>
                <w:szCs w:val="18"/>
                <w:u w:val="none"/>
                <w:lang w:val="en-US" w:eastAsia="zh-CN" w:bidi="ar"/>
              </w:rPr>
              <w:t>21</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4EAC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w:t>
            </w:r>
          </w:p>
        </w:tc>
        <w:tc>
          <w:tcPr>
            <w:tcW w:w="2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AB0D1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A0388">
            <w:pPr>
              <w:jc w:val="center"/>
              <w:rPr>
                <w:rFonts w:hint="default" w:ascii="Times New Roman" w:hAnsi="Times New Roman" w:eastAsia="宋体" w:cs="Times New Roman"/>
                <w:i/>
                <w:iCs/>
                <w:color w:val="000000"/>
                <w:sz w:val="16"/>
                <w:szCs w:val="16"/>
                <w:u w:val="none"/>
              </w:rPr>
            </w:pPr>
          </w:p>
        </w:tc>
      </w:tr>
      <w:tr w14:paraId="361ED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883141">
            <w:pPr>
              <w:jc w:val="center"/>
              <w:rPr>
                <w:rFonts w:hint="default" w:ascii="Times New Roman" w:hAnsi="Times New Roman" w:eastAsia="宋体" w:cs="Times New Roman"/>
                <w:i w:val="0"/>
                <w:iCs w:val="0"/>
                <w:color w:val="000000"/>
                <w:sz w:val="18"/>
                <w:szCs w:val="18"/>
                <w:u w:val="none"/>
              </w:rPr>
            </w:pPr>
          </w:p>
        </w:tc>
        <w:tc>
          <w:tcPr>
            <w:tcW w:w="5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2B857F">
            <w:pPr>
              <w:jc w:val="center"/>
              <w:rPr>
                <w:rFonts w:hint="default" w:ascii="Times New Roman" w:hAnsi="Times New Roman" w:eastAsia="宋体" w:cs="Times New Roman"/>
                <w:i w:val="0"/>
                <w:iCs w:val="0"/>
                <w:color w:val="000000"/>
                <w:sz w:val="18"/>
                <w:szCs w:val="18"/>
                <w:u w:val="none"/>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F004D0">
            <w:pPr>
              <w:jc w:val="center"/>
              <w:rPr>
                <w:rFonts w:hint="default" w:ascii="Times New Roman" w:hAnsi="Times New Roman" w:eastAsia="宋体" w:cs="Times New Roman"/>
                <w:i w:val="0"/>
                <w:iCs w:val="0"/>
                <w:color w:val="000000"/>
                <w:sz w:val="18"/>
                <w:szCs w:val="18"/>
                <w:u w:val="none"/>
              </w:rPr>
            </w:pP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05B1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市级组织督导检查工作</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C872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936C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7081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个</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B9CDE">
            <w:pPr>
              <w:keepNext w:val="0"/>
              <w:keepLines w:val="0"/>
              <w:widowControl/>
              <w:suppressLineNumbers w:val="0"/>
              <w:jc w:val="center"/>
              <w:textAlignment w:val="center"/>
              <w:rPr>
                <w:rFonts w:hint="default" w:ascii="Times New Roman" w:hAnsi="Times New Roman" w:eastAsia="宋体" w:cs="Times New Roman"/>
                <w:i/>
                <w:iCs/>
                <w:color w:val="000000"/>
                <w:sz w:val="18"/>
                <w:szCs w:val="18"/>
                <w:u w:val="none"/>
              </w:rPr>
            </w:pPr>
            <w:r>
              <w:rPr>
                <w:rFonts w:hint="default" w:ascii="Times New Roman" w:hAnsi="Times New Roman" w:eastAsia="宋体" w:cs="Times New Roman"/>
                <w:i/>
                <w:iCs/>
                <w:color w:val="000000"/>
                <w:kern w:val="0"/>
                <w:sz w:val="18"/>
                <w:szCs w:val="18"/>
                <w:u w:val="none"/>
                <w:lang w:val="en-US" w:eastAsia="zh-CN" w:bidi="ar"/>
              </w:rPr>
              <w:t>2</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DD42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w:t>
            </w:r>
          </w:p>
        </w:tc>
        <w:tc>
          <w:tcPr>
            <w:tcW w:w="2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729AA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C9251">
            <w:pPr>
              <w:jc w:val="center"/>
              <w:rPr>
                <w:rFonts w:hint="default" w:ascii="Times New Roman" w:hAnsi="Times New Roman" w:eastAsia="宋体" w:cs="Times New Roman"/>
                <w:i/>
                <w:iCs/>
                <w:color w:val="000000"/>
                <w:sz w:val="16"/>
                <w:szCs w:val="16"/>
                <w:u w:val="none"/>
              </w:rPr>
            </w:pPr>
          </w:p>
        </w:tc>
      </w:tr>
      <w:tr w14:paraId="4C6DF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F6C2DA">
            <w:pPr>
              <w:jc w:val="center"/>
              <w:rPr>
                <w:rFonts w:hint="default" w:ascii="Times New Roman" w:hAnsi="Times New Roman" w:eastAsia="宋体" w:cs="Times New Roman"/>
                <w:i w:val="0"/>
                <w:iCs w:val="0"/>
                <w:color w:val="000000"/>
                <w:sz w:val="18"/>
                <w:szCs w:val="18"/>
                <w:u w:val="none"/>
              </w:rPr>
            </w:pPr>
          </w:p>
        </w:tc>
        <w:tc>
          <w:tcPr>
            <w:tcW w:w="5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520F9A">
            <w:pPr>
              <w:jc w:val="center"/>
              <w:rPr>
                <w:rFonts w:hint="default" w:ascii="Times New Roman" w:hAnsi="Times New Roman" w:eastAsia="宋体" w:cs="Times New Roman"/>
                <w:i w:val="0"/>
                <w:iCs w:val="0"/>
                <w:color w:val="000000"/>
                <w:sz w:val="18"/>
                <w:szCs w:val="18"/>
                <w:u w:val="none"/>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96B837">
            <w:pPr>
              <w:jc w:val="center"/>
              <w:rPr>
                <w:rFonts w:hint="default" w:ascii="Times New Roman" w:hAnsi="Times New Roman" w:eastAsia="宋体" w:cs="Times New Roman"/>
                <w:i w:val="0"/>
                <w:iCs w:val="0"/>
                <w:color w:val="000000"/>
                <w:sz w:val="18"/>
                <w:szCs w:val="18"/>
                <w:u w:val="none"/>
              </w:rPr>
            </w:pP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9604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被采用的信息</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BA0A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C619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2ACC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件</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F676B">
            <w:pPr>
              <w:keepNext w:val="0"/>
              <w:keepLines w:val="0"/>
              <w:widowControl/>
              <w:suppressLineNumbers w:val="0"/>
              <w:jc w:val="center"/>
              <w:textAlignment w:val="center"/>
              <w:rPr>
                <w:rFonts w:hint="default" w:ascii="Times New Roman" w:hAnsi="Times New Roman" w:eastAsia="宋体" w:cs="Times New Roman"/>
                <w:i/>
                <w:iCs/>
                <w:color w:val="000000"/>
                <w:sz w:val="18"/>
                <w:szCs w:val="18"/>
                <w:u w:val="none"/>
              </w:rPr>
            </w:pPr>
            <w:r>
              <w:rPr>
                <w:rFonts w:hint="default" w:ascii="Times New Roman" w:hAnsi="Times New Roman" w:eastAsia="宋体" w:cs="Times New Roman"/>
                <w:i/>
                <w:iCs/>
                <w:color w:val="000000"/>
                <w:kern w:val="0"/>
                <w:sz w:val="18"/>
                <w:szCs w:val="18"/>
                <w:u w:val="none"/>
                <w:lang w:val="en-US" w:eastAsia="zh-CN" w:bidi="ar"/>
              </w:rPr>
              <w:t>82</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3B79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w:t>
            </w:r>
          </w:p>
        </w:tc>
        <w:tc>
          <w:tcPr>
            <w:tcW w:w="2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BD026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89A7E">
            <w:pPr>
              <w:jc w:val="center"/>
              <w:rPr>
                <w:rFonts w:hint="default" w:ascii="Times New Roman" w:hAnsi="Times New Roman" w:eastAsia="宋体" w:cs="Times New Roman"/>
                <w:i/>
                <w:iCs/>
                <w:color w:val="000000"/>
                <w:sz w:val="16"/>
                <w:szCs w:val="16"/>
                <w:u w:val="none"/>
              </w:rPr>
            </w:pPr>
          </w:p>
        </w:tc>
      </w:tr>
      <w:tr w14:paraId="17BFF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B3BAF6">
            <w:pPr>
              <w:jc w:val="center"/>
              <w:rPr>
                <w:rFonts w:hint="default" w:ascii="Times New Roman" w:hAnsi="Times New Roman" w:eastAsia="宋体" w:cs="Times New Roman"/>
                <w:i w:val="0"/>
                <w:iCs w:val="0"/>
                <w:color w:val="000000"/>
                <w:sz w:val="18"/>
                <w:szCs w:val="18"/>
                <w:u w:val="none"/>
              </w:rPr>
            </w:pPr>
          </w:p>
        </w:tc>
        <w:tc>
          <w:tcPr>
            <w:tcW w:w="5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F93CC7">
            <w:pPr>
              <w:jc w:val="center"/>
              <w:rPr>
                <w:rFonts w:hint="default" w:ascii="Times New Roman" w:hAnsi="Times New Roman" w:eastAsia="宋体" w:cs="Times New Roman"/>
                <w:i w:val="0"/>
                <w:iCs w:val="0"/>
                <w:color w:val="000000"/>
                <w:sz w:val="18"/>
                <w:szCs w:val="18"/>
                <w:u w:val="none"/>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E5D43E">
            <w:pPr>
              <w:jc w:val="center"/>
              <w:rPr>
                <w:rFonts w:hint="default" w:ascii="Times New Roman" w:hAnsi="Times New Roman" w:eastAsia="宋体" w:cs="Times New Roman"/>
                <w:i w:val="0"/>
                <w:iCs w:val="0"/>
                <w:color w:val="000000"/>
                <w:sz w:val="18"/>
                <w:szCs w:val="18"/>
                <w:u w:val="none"/>
              </w:rPr>
            </w:pP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ED5E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发展新成员</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E720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9E75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450</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7032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人</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F0BAA">
            <w:pPr>
              <w:keepNext w:val="0"/>
              <w:keepLines w:val="0"/>
              <w:widowControl/>
              <w:suppressLineNumbers w:val="0"/>
              <w:jc w:val="center"/>
              <w:textAlignment w:val="center"/>
              <w:rPr>
                <w:rFonts w:hint="default" w:ascii="Times New Roman" w:hAnsi="Times New Roman" w:eastAsia="宋体" w:cs="Times New Roman"/>
                <w:i/>
                <w:iCs/>
                <w:color w:val="000000"/>
                <w:sz w:val="18"/>
                <w:szCs w:val="18"/>
                <w:u w:val="none"/>
              </w:rPr>
            </w:pPr>
            <w:r>
              <w:rPr>
                <w:rFonts w:hint="default" w:ascii="Times New Roman" w:hAnsi="Times New Roman" w:eastAsia="宋体" w:cs="Times New Roman"/>
                <w:i/>
                <w:iCs/>
                <w:color w:val="000000"/>
                <w:kern w:val="0"/>
                <w:sz w:val="18"/>
                <w:szCs w:val="18"/>
                <w:u w:val="none"/>
                <w:lang w:val="en-US" w:eastAsia="zh-CN" w:bidi="ar"/>
              </w:rPr>
              <w:t>505</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6B1D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w:t>
            </w:r>
          </w:p>
        </w:tc>
        <w:tc>
          <w:tcPr>
            <w:tcW w:w="2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CE54B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D0A24">
            <w:pPr>
              <w:jc w:val="center"/>
              <w:rPr>
                <w:rFonts w:hint="default" w:ascii="Times New Roman" w:hAnsi="Times New Roman" w:eastAsia="宋体" w:cs="Times New Roman"/>
                <w:i/>
                <w:iCs/>
                <w:color w:val="000000"/>
                <w:sz w:val="16"/>
                <w:szCs w:val="16"/>
                <w:u w:val="none"/>
              </w:rPr>
            </w:pPr>
          </w:p>
        </w:tc>
      </w:tr>
      <w:tr w14:paraId="51DE6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AA901E">
            <w:pPr>
              <w:jc w:val="center"/>
              <w:rPr>
                <w:rFonts w:hint="default" w:ascii="Times New Roman" w:hAnsi="Times New Roman" w:eastAsia="宋体" w:cs="Times New Roman"/>
                <w:i w:val="0"/>
                <w:iCs w:val="0"/>
                <w:color w:val="000000"/>
                <w:sz w:val="18"/>
                <w:szCs w:val="18"/>
                <w:u w:val="none"/>
              </w:rPr>
            </w:pPr>
          </w:p>
        </w:tc>
        <w:tc>
          <w:tcPr>
            <w:tcW w:w="5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467B87">
            <w:pPr>
              <w:jc w:val="center"/>
              <w:rPr>
                <w:rFonts w:hint="default" w:ascii="Times New Roman" w:hAnsi="Times New Roman" w:eastAsia="宋体" w:cs="Times New Roman"/>
                <w:i w:val="0"/>
                <w:iCs w:val="0"/>
                <w:color w:val="000000"/>
                <w:sz w:val="18"/>
                <w:szCs w:val="18"/>
                <w:u w:val="none"/>
              </w:rPr>
            </w:pPr>
          </w:p>
        </w:tc>
        <w:tc>
          <w:tcPr>
            <w:tcW w:w="47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B63DA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质量指标</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AA2F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新发展成员中高层次人才</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647B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31CD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40</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EC3E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A5D80">
            <w:pPr>
              <w:keepNext w:val="0"/>
              <w:keepLines w:val="0"/>
              <w:widowControl/>
              <w:suppressLineNumbers w:val="0"/>
              <w:jc w:val="center"/>
              <w:textAlignment w:val="center"/>
              <w:rPr>
                <w:rFonts w:hint="default" w:ascii="Times New Roman" w:hAnsi="Times New Roman" w:eastAsia="宋体" w:cs="Times New Roman"/>
                <w:i/>
                <w:iCs/>
                <w:color w:val="000000"/>
                <w:sz w:val="18"/>
                <w:szCs w:val="18"/>
                <w:u w:val="none"/>
              </w:rPr>
            </w:pPr>
            <w:r>
              <w:rPr>
                <w:rFonts w:hint="default" w:ascii="Times New Roman" w:hAnsi="Times New Roman" w:eastAsia="宋体" w:cs="Times New Roman"/>
                <w:i/>
                <w:iCs/>
                <w:color w:val="000000"/>
                <w:kern w:val="0"/>
                <w:sz w:val="18"/>
                <w:szCs w:val="18"/>
                <w:u w:val="none"/>
                <w:lang w:val="en-US" w:eastAsia="zh-CN" w:bidi="ar"/>
              </w:rPr>
              <w:t>40</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9ACE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w:t>
            </w:r>
          </w:p>
        </w:tc>
        <w:tc>
          <w:tcPr>
            <w:tcW w:w="2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5616C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E91F7">
            <w:pPr>
              <w:jc w:val="center"/>
              <w:rPr>
                <w:rFonts w:hint="default" w:ascii="Times New Roman" w:hAnsi="Times New Roman" w:eastAsia="宋体" w:cs="Times New Roman"/>
                <w:i/>
                <w:iCs/>
                <w:color w:val="000000"/>
                <w:sz w:val="16"/>
                <w:szCs w:val="16"/>
                <w:u w:val="none"/>
              </w:rPr>
            </w:pPr>
          </w:p>
        </w:tc>
      </w:tr>
      <w:tr w14:paraId="6787C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6692B">
            <w:pPr>
              <w:jc w:val="center"/>
              <w:rPr>
                <w:rFonts w:hint="default" w:ascii="Times New Roman" w:hAnsi="Times New Roman" w:eastAsia="宋体" w:cs="Times New Roman"/>
                <w:i w:val="0"/>
                <w:iCs w:val="0"/>
                <w:color w:val="000000"/>
                <w:sz w:val="18"/>
                <w:szCs w:val="18"/>
                <w:u w:val="none"/>
              </w:rPr>
            </w:pPr>
          </w:p>
        </w:tc>
        <w:tc>
          <w:tcPr>
            <w:tcW w:w="5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915891">
            <w:pPr>
              <w:jc w:val="center"/>
              <w:rPr>
                <w:rFonts w:hint="default" w:ascii="Times New Roman" w:hAnsi="Times New Roman" w:eastAsia="宋体" w:cs="Times New Roman"/>
                <w:i w:val="0"/>
                <w:iCs w:val="0"/>
                <w:color w:val="000000"/>
                <w:sz w:val="18"/>
                <w:szCs w:val="18"/>
                <w:u w:val="none"/>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156BFD">
            <w:pPr>
              <w:jc w:val="center"/>
              <w:rPr>
                <w:rFonts w:hint="default" w:ascii="Times New Roman" w:hAnsi="Times New Roman" w:eastAsia="宋体" w:cs="Times New Roman"/>
                <w:i w:val="0"/>
                <w:iCs w:val="0"/>
                <w:color w:val="000000"/>
                <w:sz w:val="18"/>
                <w:szCs w:val="18"/>
                <w:u w:val="none"/>
              </w:rPr>
            </w:pP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6ABB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新发展成员中主体界别</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E7CC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57AE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70</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ABCF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F7A7E">
            <w:pPr>
              <w:keepNext w:val="0"/>
              <w:keepLines w:val="0"/>
              <w:widowControl/>
              <w:suppressLineNumbers w:val="0"/>
              <w:jc w:val="center"/>
              <w:textAlignment w:val="center"/>
              <w:rPr>
                <w:rFonts w:hint="default" w:ascii="Times New Roman" w:hAnsi="Times New Roman" w:eastAsia="宋体" w:cs="Times New Roman"/>
                <w:i/>
                <w:iCs/>
                <w:color w:val="000000"/>
                <w:sz w:val="18"/>
                <w:szCs w:val="18"/>
                <w:u w:val="none"/>
              </w:rPr>
            </w:pPr>
            <w:r>
              <w:rPr>
                <w:rFonts w:hint="default" w:ascii="Times New Roman" w:hAnsi="Times New Roman" w:eastAsia="宋体" w:cs="Times New Roman"/>
                <w:i/>
                <w:iCs/>
                <w:color w:val="000000"/>
                <w:kern w:val="0"/>
                <w:sz w:val="18"/>
                <w:szCs w:val="18"/>
                <w:u w:val="none"/>
                <w:lang w:val="en-US" w:eastAsia="zh-CN" w:bidi="ar"/>
              </w:rPr>
              <w:t>80.4</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30F2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w:t>
            </w:r>
          </w:p>
        </w:tc>
        <w:tc>
          <w:tcPr>
            <w:tcW w:w="2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8D38E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06112">
            <w:pPr>
              <w:jc w:val="center"/>
              <w:rPr>
                <w:rFonts w:hint="default" w:ascii="Times New Roman" w:hAnsi="Times New Roman" w:eastAsia="宋体" w:cs="Times New Roman"/>
                <w:i/>
                <w:iCs/>
                <w:color w:val="000000"/>
                <w:sz w:val="16"/>
                <w:szCs w:val="16"/>
                <w:u w:val="none"/>
              </w:rPr>
            </w:pPr>
          </w:p>
        </w:tc>
      </w:tr>
      <w:tr w14:paraId="69B05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D0A286">
            <w:pPr>
              <w:jc w:val="center"/>
              <w:rPr>
                <w:rFonts w:hint="default" w:ascii="Times New Roman" w:hAnsi="Times New Roman" w:eastAsia="宋体" w:cs="Times New Roman"/>
                <w:i w:val="0"/>
                <w:iCs w:val="0"/>
                <w:color w:val="000000"/>
                <w:sz w:val="18"/>
                <w:szCs w:val="18"/>
                <w:u w:val="none"/>
              </w:rPr>
            </w:pPr>
          </w:p>
        </w:tc>
        <w:tc>
          <w:tcPr>
            <w:tcW w:w="5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A18D0F">
            <w:pPr>
              <w:jc w:val="center"/>
              <w:rPr>
                <w:rFonts w:hint="default" w:ascii="Times New Roman" w:hAnsi="Times New Roman" w:eastAsia="宋体" w:cs="Times New Roman"/>
                <w:i w:val="0"/>
                <w:iCs w:val="0"/>
                <w:color w:val="000000"/>
                <w:sz w:val="18"/>
                <w:szCs w:val="18"/>
                <w:u w:val="none"/>
              </w:rPr>
            </w:pP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F2C0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时效指标</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45B4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课题按期完成率</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4343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8E56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BB8E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条</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FCE31">
            <w:pPr>
              <w:keepNext w:val="0"/>
              <w:keepLines w:val="0"/>
              <w:widowControl/>
              <w:suppressLineNumbers w:val="0"/>
              <w:jc w:val="center"/>
              <w:textAlignment w:val="center"/>
              <w:rPr>
                <w:rFonts w:hint="default" w:ascii="Times New Roman" w:hAnsi="Times New Roman" w:eastAsia="宋体" w:cs="Times New Roman"/>
                <w:i/>
                <w:iCs/>
                <w:color w:val="000000"/>
                <w:sz w:val="18"/>
                <w:szCs w:val="18"/>
                <w:u w:val="none"/>
              </w:rPr>
            </w:pPr>
            <w:r>
              <w:rPr>
                <w:rFonts w:hint="default" w:ascii="Times New Roman" w:hAnsi="Times New Roman" w:eastAsia="宋体" w:cs="Times New Roman"/>
                <w:i/>
                <w:iCs/>
                <w:color w:val="000000"/>
                <w:kern w:val="0"/>
                <w:sz w:val="18"/>
                <w:szCs w:val="18"/>
                <w:u w:val="none"/>
                <w:lang w:val="en-US" w:eastAsia="zh-CN" w:bidi="ar"/>
              </w:rPr>
              <w:t>100</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1CE2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w:t>
            </w:r>
          </w:p>
        </w:tc>
        <w:tc>
          <w:tcPr>
            <w:tcW w:w="2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93BE8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808CE">
            <w:pPr>
              <w:jc w:val="center"/>
              <w:rPr>
                <w:rFonts w:hint="default" w:ascii="Times New Roman" w:hAnsi="Times New Roman" w:eastAsia="宋体" w:cs="Times New Roman"/>
                <w:i/>
                <w:iCs/>
                <w:color w:val="000000"/>
                <w:sz w:val="16"/>
                <w:szCs w:val="16"/>
                <w:u w:val="none"/>
              </w:rPr>
            </w:pPr>
          </w:p>
        </w:tc>
      </w:tr>
      <w:tr w14:paraId="4629D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303F4D">
            <w:pPr>
              <w:jc w:val="center"/>
              <w:rPr>
                <w:rFonts w:hint="default" w:ascii="Times New Roman" w:hAnsi="Times New Roman" w:eastAsia="宋体" w:cs="Times New Roman"/>
                <w:i w:val="0"/>
                <w:iCs w:val="0"/>
                <w:color w:val="000000"/>
                <w:sz w:val="18"/>
                <w:szCs w:val="18"/>
                <w:u w:val="none"/>
              </w:rPr>
            </w:pPr>
          </w:p>
        </w:tc>
        <w:tc>
          <w:tcPr>
            <w:tcW w:w="5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AD29A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效益指标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E8F8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经济效益指标</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828A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助农增收</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2EC2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A438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200</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A5F3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元</w:t>
            </w:r>
            <w:r>
              <w:rPr>
                <w:rFonts w:hint="default" w:ascii="Times New Roman" w:hAnsi="Times New Roman" w:eastAsia="宋体" w:cs="Times New Roman"/>
                <w:i w:val="0"/>
                <w:iCs w:val="0"/>
                <w:color w:val="000000"/>
                <w:kern w:val="0"/>
                <w:sz w:val="18"/>
                <w:szCs w:val="18"/>
                <w:u w:val="none"/>
                <w:lang w:val="en-US" w:eastAsia="zh-CN" w:bidi="ar"/>
              </w:rPr>
              <w:t>/</w:t>
            </w:r>
            <w:r>
              <w:rPr>
                <w:rFonts w:ascii="方正仿宋_GB2312" w:hAnsi="方正仿宋_GB2312" w:eastAsia="方正仿宋_GB2312" w:cs="方正仿宋_GB2312"/>
                <w:i w:val="0"/>
                <w:iCs w:val="0"/>
                <w:color w:val="000000"/>
                <w:kern w:val="0"/>
                <w:sz w:val="18"/>
                <w:szCs w:val="18"/>
                <w:u w:val="none"/>
                <w:lang w:val="en-US" w:eastAsia="zh-CN" w:bidi="ar"/>
              </w:rPr>
              <w:t>人</w:t>
            </w:r>
            <w:r>
              <w:rPr>
                <w:rFonts w:hint="default" w:ascii="Times New Roman" w:hAnsi="Times New Roman" w:eastAsia="宋体" w:cs="Times New Roman"/>
                <w:i w:val="0"/>
                <w:iCs w:val="0"/>
                <w:color w:val="000000"/>
                <w:kern w:val="0"/>
                <w:sz w:val="18"/>
                <w:szCs w:val="18"/>
                <w:u w:val="none"/>
                <w:lang w:val="en-US" w:eastAsia="zh-CN" w:bidi="ar"/>
              </w:rPr>
              <w:t>·</w:t>
            </w:r>
            <w:r>
              <w:rPr>
                <w:rFonts w:ascii="方正仿宋_GB2312" w:hAnsi="方正仿宋_GB2312" w:eastAsia="方正仿宋_GB2312" w:cs="方正仿宋_GB2312"/>
                <w:i w:val="0"/>
                <w:iCs w:val="0"/>
                <w:color w:val="000000"/>
                <w:kern w:val="0"/>
                <w:sz w:val="18"/>
                <w:szCs w:val="18"/>
                <w:u w:val="none"/>
                <w:lang w:val="en-US" w:eastAsia="zh-CN" w:bidi="ar"/>
              </w:rPr>
              <w:t>次</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DEAB5">
            <w:pPr>
              <w:keepNext w:val="0"/>
              <w:keepLines w:val="0"/>
              <w:widowControl/>
              <w:suppressLineNumbers w:val="0"/>
              <w:jc w:val="center"/>
              <w:textAlignment w:val="center"/>
              <w:rPr>
                <w:rFonts w:hint="default" w:ascii="Times New Roman" w:hAnsi="Times New Roman" w:eastAsia="宋体" w:cs="Times New Roman"/>
                <w:i/>
                <w:iCs/>
                <w:color w:val="000000"/>
                <w:sz w:val="18"/>
                <w:szCs w:val="18"/>
                <w:u w:val="none"/>
              </w:rPr>
            </w:pPr>
            <w:r>
              <w:rPr>
                <w:rFonts w:hint="default" w:ascii="Times New Roman" w:hAnsi="Times New Roman" w:eastAsia="宋体" w:cs="Times New Roman"/>
                <w:i/>
                <w:iCs/>
                <w:color w:val="000000"/>
                <w:kern w:val="0"/>
                <w:sz w:val="18"/>
                <w:szCs w:val="18"/>
                <w:u w:val="none"/>
                <w:lang w:val="en-US" w:eastAsia="zh-CN" w:bidi="ar"/>
              </w:rPr>
              <w:t>200</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0272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19</w:t>
            </w:r>
          </w:p>
        </w:tc>
        <w:tc>
          <w:tcPr>
            <w:tcW w:w="2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9678E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19</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5E1C4">
            <w:pPr>
              <w:jc w:val="center"/>
              <w:rPr>
                <w:rFonts w:hint="default" w:ascii="Times New Roman" w:hAnsi="Times New Roman" w:eastAsia="宋体" w:cs="Times New Roman"/>
                <w:i/>
                <w:iCs/>
                <w:color w:val="000000"/>
                <w:sz w:val="16"/>
                <w:szCs w:val="16"/>
                <w:u w:val="none"/>
              </w:rPr>
            </w:pPr>
          </w:p>
        </w:tc>
      </w:tr>
      <w:tr w14:paraId="050F5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CADC56">
            <w:pPr>
              <w:jc w:val="center"/>
              <w:rPr>
                <w:rFonts w:hint="default" w:ascii="Times New Roman" w:hAnsi="Times New Roman" w:eastAsia="宋体" w:cs="Times New Roman"/>
                <w:i w:val="0"/>
                <w:iCs w:val="0"/>
                <w:color w:val="000000"/>
                <w:sz w:val="18"/>
                <w:szCs w:val="18"/>
                <w:u w:val="none"/>
              </w:rPr>
            </w:pPr>
          </w:p>
        </w:tc>
        <w:tc>
          <w:tcPr>
            <w:tcW w:w="5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603785">
            <w:pPr>
              <w:jc w:val="center"/>
              <w:rPr>
                <w:rFonts w:hint="default" w:ascii="Times New Roman" w:hAnsi="Times New Roman" w:eastAsia="宋体" w:cs="Times New Roman"/>
                <w:i w:val="0"/>
                <w:iCs w:val="0"/>
                <w:color w:val="000000"/>
                <w:sz w:val="18"/>
                <w:szCs w:val="18"/>
                <w:u w:val="none"/>
              </w:rPr>
            </w:pP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2D65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社会效益指标</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36AA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就业率提高</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3D47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DB05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0DE0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26055">
            <w:pPr>
              <w:keepNext w:val="0"/>
              <w:keepLines w:val="0"/>
              <w:widowControl/>
              <w:suppressLineNumbers w:val="0"/>
              <w:jc w:val="center"/>
              <w:textAlignment w:val="center"/>
              <w:rPr>
                <w:rFonts w:hint="default" w:ascii="Times New Roman" w:hAnsi="Times New Roman" w:eastAsia="宋体" w:cs="Times New Roman"/>
                <w:i/>
                <w:iCs/>
                <w:color w:val="000000"/>
                <w:sz w:val="18"/>
                <w:szCs w:val="18"/>
                <w:u w:val="none"/>
              </w:rPr>
            </w:pPr>
            <w:r>
              <w:rPr>
                <w:rFonts w:hint="default" w:ascii="Times New Roman" w:hAnsi="Times New Roman" w:eastAsia="宋体" w:cs="Times New Roman"/>
                <w:i/>
                <w:iCs/>
                <w:color w:val="000000"/>
                <w:kern w:val="0"/>
                <w:sz w:val="18"/>
                <w:szCs w:val="18"/>
                <w:u w:val="none"/>
                <w:lang w:val="en-US" w:eastAsia="zh-CN" w:bidi="ar"/>
              </w:rPr>
              <w:t>5</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0566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w:t>
            </w:r>
          </w:p>
        </w:tc>
        <w:tc>
          <w:tcPr>
            <w:tcW w:w="2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02EDF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5C353">
            <w:pPr>
              <w:jc w:val="center"/>
              <w:rPr>
                <w:rFonts w:hint="default" w:ascii="Times New Roman" w:hAnsi="Times New Roman" w:eastAsia="宋体" w:cs="Times New Roman"/>
                <w:i/>
                <w:iCs/>
                <w:color w:val="000000"/>
                <w:sz w:val="16"/>
                <w:szCs w:val="16"/>
                <w:u w:val="none"/>
              </w:rPr>
            </w:pPr>
          </w:p>
        </w:tc>
      </w:tr>
      <w:tr w14:paraId="60E18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404"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B7843E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合计</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3FF0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w:t>
            </w:r>
          </w:p>
        </w:tc>
        <w:tc>
          <w:tcPr>
            <w:tcW w:w="2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35BD8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6781D">
            <w:pPr>
              <w:rPr>
                <w:rFonts w:hint="default" w:ascii="Times New Roman" w:hAnsi="Times New Roman" w:eastAsia="宋体" w:cs="Times New Roman"/>
                <w:i w:val="0"/>
                <w:iCs w:val="0"/>
                <w:color w:val="000000"/>
                <w:sz w:val="18"/>
                <w:szCs w:val="18"/>
                <w:u w:val="none"/>
              </w:rPr>
            </w:pPr>
          </w:p>
        </w:tc>
      </w:tr>
      <w:tr w14:paraId="77596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013A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评价结论</w:t>
            </w:r>
          </w:p>
        </w:tc>
        <w:tc>
          <w:tcPr>
            <w:tcW w:w="4684"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96F5507">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该项目得分为</w:t>
            </w:r>
            <w:r>
              <w:rPr>
                <w:rFonts w:hint="default" w:ascii="Times New Roman" w:hAnsi="Times New Roman" w:eastAsia="宋体" w:cs="Times New Roman"/>
                <w:i w:val="0"/>
                <w:iCs w:val="0"/>
                <w:color w:val="000000"/>
                <w:kern w:val="0"/>
                <w:sz w:val="24"/>
                <w:szCs w:val="24"/>
                <w:u w:val="none"/>
                <w:lang w:val="en-US" w:eastAsia="zh-CN" w:bidi="ar"/>
              </w:rPr>
              <w:t>100</w:t>
            </w:r>
            <w:r>
              <w:rPr>
                <w:rFonts w:hint="eastAsia" w:ascii="方正仿宋_GB2312" w:hAnsi="方正仿宋_GB2312" w:eastAsia="方正仿宋_GB2312" w:cs="方正仿宋_GB2312"/>
                <w:i w:val="0"/>
                <w:iCs w:val="0"/>
                <w:color w:val="000000"/>
                <w:kern w:val="0"/>
                <w:sz w:val="24"/>
                <w:szCs w:val="24"/>
                <w:u w:val="none"/>
                <w:lang w:val="en-US" w:eastAsia="zh-CN" w:bidi="ar"/>
              </w:rPr>
              <w:t>分。按照年初的目标和要求实施。</w:t>
            </w:r>
          </w:p>
        </w:tc>
      </w:tr>
      <w:tr w14:paraId="70FC0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8F95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存在问题</w:t>
            </w:r>
          </w:p>
        </w:tc>
        <w:tc>
          <w:tcPr>
            <w:tcW w:w="4684"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D7FB514">
            <w:pPr>
              <w:keepNext w:val="0"/>
              <w:keepLines w:val="0"/>
              <w:widowControl/>
              <w:suppressLineNumbers w:val="0"/>
              <w:jc w:val="left"/>
              <w:textAlignment w:val="center"/>
              <w:rPr>
                <w:rFonts w:hint="default" w:ascii="Times New Roman" w:hAnsi="Times New Roman" w:eastAsia="宋体" w:cs="Times New Roman"/>
                <w:i/>
                <w:iCs/>
                <w:color w:val="000000"/>
                <w:sz w:val="16"/>
                <w:szCs w:val="16"/>
                <w:u w:val="none"/>
              </w:rPr>
            </w:pPr>
            <w:r>
              <w:rPr>
                <w:rFonts w:hint="eastAsia" w:ascii="方正仿宋_GB2312" w:hAnsi="方正仿宋_GB2312" w:eastAsia="方正仿宋_GB2312" w:cs="方正仿宋_GB2312"/>
                <w:i/>
                <w:iCs/>
                <w:color w:val="000000"/>
                <w:kern w:val="0"/>
                <w:sz w:val="16"/>
                <w:szCs w:val="16"/>
                <w:u w:val="none"/>
                <w:lang w:val="en-US" w:eastAsia="zh-CN" w:bidi="ar"/>
              </w:rPr>
              <w:t>无</w:t>
            </w:r>
          </w:p>
        </w:tc>
      </w:tr>
      <w:tr w14:paraId="3D9B6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42C5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改进措施</w:t>
            </w:r>
          </w:p>
        </w:tc>
        <w:tc>
          <w:tcPr>
            <w:tcW w:w="4684"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9463D1E">
            <w:pPr>
              <w:keepNext w:val="0"/>
              <w:keepLines w:val="0"/>
              <w:widowControl/>
              <w:suppressLineNumbers w:val="0"/>
              <w:jc w:val="left"/>
              <w:textAlignment w:val="center"/>
              <w:rPr>
                <w:rFonts w:hint="default" w:ascii="Times New Roman" w:hAnsi="Times New Roman" w:eastAsia="宋体" w:cs="Times New Roman"/>
                <w:i/>
                <w:iCs/>
                <w:color w:val="000000"/>
                <w:sz w:val="16"/>
                <w:szCs w:val="16"/>
                <w:u w:val="none"/>
              </w:rPr>
            </w:pPr>
            <w:r>
              <w:rPr>
                <w:rFonts w:hint="eastAsia" w:ascii="方正仿宋_GB2312" w:hAnsi="方正仿宋_GB2312" w:eastAsia="方正仿宋_GB2312" w:cs="方正仿宋_GB2312"/>
                <w:i/>
                <w:iCs/>
                <w:color w:val="000000"/>
                <w:kern w:val="0"/>
                <w:sz w:val="16"/>
                <w:szCs w:val="16"/>
                <w:u w:val="none"/>
                <w:lang w:val="en-US" w:eastAsia="zh-CN" w:bidi="ar"/>
              </w:rPr>
              <w:t>无</w:t>
            </w:r>
          </w:p>
        </w:tc>
      </w:tr>
      <w:tr w14:paraId="13E0D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19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1E3FE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项目负责人：</w:t>
            </w:r>
          </w:p>
        </w:tc>
        <w:tc>
          <w:tcPr>
            <w:tcW w:w="2804"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862D30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财务负责人：</w:t>
            </w:r>
          </w:p>
        </w:tc>
      </w:tr>
    </w:tbl>
    <w:p w14:paraId="4F673283">
      <w:pPr>
        <w:rPr>
          <w:rFonts w:hint="eastAsia" w:ascii="Times New Roman" w:hAnsi="Times New Roman" w:eastAsia="黑体" w:cs="黑体"/>
          <w:color w:val="auto"/>
          <w:kern w:val="0"/>
          <w:sz w:val="32"/>
          <w:szCs w:val="32"/>
          <w:highlight w:val="none"/>
          <w:shd w:val="clear" w:color="auto" w:fill="FFFFFF"/>
          <w:lang w:val="zh-CN"/>
        </w:rPr>
        <w:sectPr>
          <w:pgSz w:w="11906" w:h="16838"/>
          <w:pgMar w:top="1440" w:right="1800" w:bottom="1440" w:left="1800" w:header="851" w:footer="992" w:gutter="0"/>
          <w:pgNumType w:fmt="decimal"/>
          <w:cols w:space="425" w:num="1"/>
          <w:docGrid w:type="lines" w:linePitch="312" w:charSpace="0"/>
        </w:sectPr>
      </w:pPr>
      <w:r>
        <w:rPr>
          <w:rFonts w:hint="eastAsia" w:ascii="Times New Roman" w:hAnsi="Times New Roman" w:eastAsia="黑体" w:cs="黑体"/>
          <w:color w:val="auto"/>
          <w:kern w:val="0"/>
          <w:sz w:val="32"/>
          <w:szCs w:val="32"/>
          <w:highlight w:val="none"/>
          <w:shd w:val="clear" w:color="auto" w:fill="FFFFFF"/>
          <w:lang w:val="zh-CN"/>
        </w:rPr>
        <w:br w:type="page"/>
      </w:r>
    </w:p>
    <w:p w14:paraId="5999955B">
      <w:pPr>
        <w:pStyle w:val="13"/>
        <w:rPr>
          <w:rFonts w:hint="eastAsia"/>
          <w:lang w:val="zh-CN"/>
        </w:rPr>
      </w:pPr>
    </w:p>
    <w:tbl>
      <w:tblPr>
        <w:tblStyle w:val="15"/>
        <w:tblW w:w="537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070"/>
        <w:gridCol w:w="904"/>
        <w:gridCol w:w="1197"/>
        <w:gridCol w:w="400"/>
        <w:gridCol w:w="843"/>
        <w:gridCol w:w="396"/>
        <w:gridCol w:w="867"/>
        <w:gridCol w:w="486"/>
        <w:gridCol w:w="396"/>
        <w:gridCol w:w="2033"/>
      </w:tblGrid>
      <w:tr w14:paraId="51B67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7"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4B57766">
            <w:pPr>
              <w:keepNext w:val="0"/>
              <w:keepLines w:val="0"/>
              <w:widowControl/>
              <w:suppressLineNumbers w:val="0"/>
              <w:jc w:val="center"/>
              <w:textAlignment w:val="center"/>
              <w:rPr>
                <w:rFonts w:ascii="黑体" w:hAnsi="宋体" w:eastAsia="黑体" w:cs="黑体"/>
                <w:b/>
                <w:bCs/>
                <w:i w:val="0"/>
                <w:iCs w:val="0"/>
                <w:color w:val="000000"/>
                <w:sz w:val="30"/>
                <w:szCs w:val="30"/>
                <w:u w:val="none"/>
              </w:rPr>
            </w:pPr>
            <w:bookmarkStart w:id="72" w:name="_Toc15396618"/>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63E63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83B46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项目名称</w:t>
            </w:r>
          </w:p>
        </w:tc>
        <w:tc>
          <w:tcPr>
            <w:tcW w:w="4101"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5CDF44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51000025Y000013047476-</w:t>
            </w:r>
            <w:r>
              <w:rPr>
                <w:rFonts w:ascii="方正仿宋_GB2312" w:hAnsi="方正仿宋_GB2312" w:eastAsia="方正仿宋_GB2312" w:cs="方正仿宋_GB2312"/>
                <w:i w:val="0"/>
                <w:iCs w:val="0"/>
                <w:color w:val="000000"/>
                <w:kern w:val="0"/>
                <w:sz w:val="18"/>
                <w:szCs w:val="18"/>
                <w:u w:val="none"/>
                <w:lang w:val="en-US" w:eastAsia="zh-CN" w:bidi="ar"/>
              </w:rPr>
              <w:t>长江生态保护民主监督</w:t>
            </w:r>
          </w:p>
        </w:tc>
      </w:tr>
      <w:tr w14:paraId="18298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5A209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主管部门</w:t>
            </w:r>
          </w:p>
        </w:tc>
        <w:tc>
          <w:tcPr>
            <w:tcW w:w="204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CF2FCD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九三学社四川省委员会部门</w:t>
            </w:r>
          </w:p>
        </w:tc>
        <w:tc>
          <w:tcPr>
            <w:tcW w:w="952" w:type="pct"/>
            <w:gridSpan w:val="3"/>
            <w:tcBorders>
              <w:top w:val="nil"/>
              <w:left w:val="nil"/>
              <w:bottom w:val="nil"/>
              <w:right w:val="nil"/>
            </w:tcBorders>
            <w:shd w:val="clear" w:color="auto" w:fill="auto"/>
            <w:vAlign w:val="center"/>
          </w:tcPr>
          <w:p w14:paraId="150C174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实施单位</w:t>
            </w:r>
            <w:r>
              <w:rPr>
                <w:rFonts w:hint="default" w:ascii="Times New Roman" w:hAnsi="Times New Roman" w:eastAsia="宋体" w:cs="Times New Roman"/>
                <w:i w:val="0"/>
                <w:iCs w:val="0"/>
                <w:color w:val="000000"/>
                <w:kern w:val="0"/>
                <w:sz w:val="18"/>
                <w:szCs w:val="18"/>
                <w:u w:val="none"/>
                <w:lang w:val="en-US" w:eastAsia="zh-CN" w:bidi="ar"/>
              </w:rPr>
              <w:t xml:space="preserve"> </w:t>
            </w:r>
            <w:r>
              <w:rPr>
                <w:rFonts w:ascii="方正仿宋_GB2312" w:hAnsi="方正仿宋_GB2312" w:eastAsia="方正仿宋_GB2312" w:cs="方正仿宋_GB2312"/>
                <w:i w:val="0"/>
                <w:iCs w:val="0"/>
                <w:color w:val="000000"/>
                <w:kern w:val="0"/>
                <w:sz w:val="18"/>
                <w:szCs w:val="18"/>
                <w:u w:val="none"/>
                <w:lang w:val="en-US" w:eastAsia="zh-CN" w:bidi="ar"/>
              </w:rPr>
              <w:t>（盖章）</w:t>
            </w:r>
          </w:p>
        </w:tc>
        <w:tc>
          <w:tcPr>
            <w:tcW w:w="11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2871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九三学社四川省委</w:t>
            </w:r>
          </w:p>
        </w:tc>
      </w:tr>
      <w:tr w14:paraId="20630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1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2E749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项目基本情况</w:t>
            </w:r>
          </w:p>
        </w:tc>
        <w:tc>
          <w:tcPr>
            <w:tcW w:w="5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FEFA3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r>
              <w:rPr>
                <w:rFonts w:ascii="方正仿宋_GB2312" w:hAnsi="方正仿宋_GB2312" w:eastAsia="方正仿宋_GB2312" w:cs="方正仿宋_GB2312"/>
                <w:i w:val="0"/>
                <w:iCs w:val="0"/>
                <w:color w:val="000000"/>
                <w:kern w:val="0"/>
                <w:sz w:val="18"/>
                <w:szCs w:val="18"/>
                <w:u w:val="none"/>
                <w:lang w:val="en-US" w:eastAsia="zh-CN" w:bidi="ar"/>
              </w:rPr>
              <w:t>项目年度目标完成情况</w:t>
            </w:r>
          </w:p>
        </w:tc>
        <w:tc>
          <w:tcPr>
            <w:tcW w:w="204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AE99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项目年度目标</w:t>
            </w:r>
          </w:p>
        </w:tc>
        <w:tc>
          <w:tcPr>
            <w:tcW w:w="206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2C205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年度目标完成情况</w:t>
            </w:r>
          </w:p>
        </w:tc>
      </w:tr>
      <w:tr w14:paraId="4EE3B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3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12FA72">
            <w:pPr>
              <w:rPr>
                <w:rFonts w:hint="default" w:ascii="Times New Roman" w:hAnsi="Times New Roman" w:eastAsia="宋体" w:cs="Times New Roman"/>
                <w:i w:val="0"/>
                <w:iCs w:val="0"/>
                <w:color w:val="000000"/>
                <w:sz w:val="18"/>
                <w:szCs w:val="18"/>
                <w:u w:val="none"/>
              </w:rPr>
            </w:pPr>
          </w:p>
        </w:tc>
        <w:tc>
          <w:tcPr>
            <w:tcW w:w="5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B2F604">
            <w:pPr>
              <w:keepNext w:val="0"/>
              <w:keepLines w:val="0"/>
              <w:pageBreakBefore w:val="0"/>
              <w:widowControl/>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18"/>
                <w:szCs w:val="18"/>
                <w:u w:val="none"/>
              </w:rPr>
            </w:pPr>
          </w:p>
        </w:tc>
        <w:tc>
          <w:tcPr>
            <w:tcW w:w="204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7B6296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全年完成完成长江生态环境调研</w:t>
            </w:r>
            <w:r>
              <w:rPr>
                <w:rFonts w:hint="default" w:ascii="Times New Roman" w:hAnsi="Times New Roman" w:eastAsia="宋体" w:cs="Times New Roman"/>
                <w:i w:val="0"/>
                <w:iCs w:val="0"/>
                <w:color w:val="000000"/>
                <w:kern w:val="0"/>
                <w:sz w:val="18"/>
                <w:szCs w:val="18"/>
                <w:u w:val="none"/>
                <w:lang w:val="en-US" w:eastAsia="zh-CN" w:bidi="ar"/>
              </w:rPr>
              <w:t>6</w:t>
            </w:r>
            <w:r>
              <w:rPr>
                <w:rFonts w:ascii="方正仿宋_GB2312" w:hAnsi="方正仿宋_GB2312" w:eastAsia="方正仿宋_GB2312" w:cs="方正仿宋_GB2312"/>
                <w:i w:val="0"/>
                <w:iCs w:val="0"/>
                <w:color w:val="000000"/>
                <w:kern w:val="0"/>
                <w:sz w:val="18"/>
                <w:szCs w:val="18"/>
                <w:u w:val="none"/>
                <w:lang w:val="en-US" w:eastAsia="zh-CN" w:bidi="ar"/>
              </w:rPr>
              <w:t>次，上报建议、意见</w:t>
            </w:r>
            <w:r>
              <w:rPr>
                <w:rFonts w:hint="default" w:ascii="Times New Roman" w:hAnsi="Times New Roman" w:eastAsia="宋体" w:cs="Times New Roman"/>
                <w:i w:val="0"/>
                <w:iCs w:val="0"/>
                <w:color w:val="000000"/>
                <w:kern w:val="0"/>
                <w:sz w:val="18"/>
                <w:szCs w:val="18"/>
                <w:u w:val="none"/>
                <w:lang w:val="en-US" w:eastAsia="zh-CN" w:bidi="ar"/>
              </w:rPr>
              <w:t>20</w:t>
            </w:r>
            <w:r>
              <w:rPr>
                <w:rFonts w:ascii="方正仿宋_GB2312" w:hAnsi="方正仿宋_GB2312" w:eastAsia="方正仿宋_GB2312" w:cs="方正仿宋_GB2312"/>
                <w:i w:val="0"/>
                <w:iCs w:val="0"/>
                <w:color w:val="000000"/>
                <w:kern w:val="0"/>
                <w:sz w:val="18"/>
                <w:szCs w:val="18"/>
                <w:u w:val="none"/>
                <w:lang w:val="en-US" w:eastAsia="zh-CN" w:bidi="ar"/>
              </w:rPr>
              <w:t>条，上报的信息、建议、报告获得省领导批示</w:t>
            </w:r>
            <w:r>
              <w:rPr>
                <w:rFonts w:hint="default" w:ascii="Times New Roman" w:hAnsi="Times New Roman" w:eastAsia="宋体" w:cs="Times New Roman"/>
                <w:i w:val="0"/>
                <w:iCs w:val="0"/>
                <w:color w:val="000000"/>
                <w:kern w:val="0"/>
                <w:sz w:val="18"/>
                <w:szCs w:val="18"/>
                <w:u w:val="none"/>
                <w:lang w:val="en-US" w:eastAsia="zh-CN" w:bidi="ar"/>
              </w:rPr>
              <w:t>2</w:t>
            </w:r>
            <w:r>
              <w:rPr>
                <w:rFonts w:ascii="方正仿宋_GB2312" w:hAnsi="方正仿宋_GB2312" w:eastAsia="方正仿宋_GB2312" w:cs="方正仿宋_GB2312"/>
                <w:i w:val="0"/>
                <w:iCs w:val="0"/>
                <w:color w:val="000000"/>
                <w:kern w:val="0"/>
                <w:sz w:val="18"/>
                <w:szCs w:val="18"/>
                <w:u w:val="none"/>
                <w:lang w:val="en-US" w:eastAsia="zh-CN" w:bidi="ar"/>
              </w:rPr>
              <w:t>篇以上。全年媒体报道次数</w:t>
            </w:r>
            <w:r>
              <w:rPr>
                <w:rFonts w:hint="default" w:ascii="Times New Roman" w:hAnsi="Times New Roman" w:eastAsia="宋体" w:cs="Times New Roman"/>
                <w:i w:val="0"/>
                <w:iCs w:val="0"/>
                <w:color w:val="000000"/>
                <w:kern w:val="0"/>
                <w:sz w:val="18"/>
                <w:szCs w:val="18"/>
                <w:u w:val="none"/>
                <w:lang w:val="en-US" w:eastAsia="zh-CN" w:bidi="ar"/>
              </w:rPr>
              <w:t>6</w:t>
            </w:r>
            <w:r>
              <w:rPr>
                <w:rFonts w:ascii="方正仿宋_GB2312" w:hAnsi="方正仿宋_GB2312" w:eastAsia="方正仿宋_GB2312" w:cs="方正仿宋_GB2312"/>
                <w:i w:val="0"/>
                <w:iCs w:val="0"/>
                <w:color w:val="000000"/>
                <w:kern w:val="0"/>
                <w:sz w:val="18"/>
                <w:szCs w:val="18"/>
                <w:u w:val="none"/>
                <w:lang w:val="en-US" w:eastAsia="zh-CN" w:bidi="ar"/>
              </w:rPr>
              <w:t>次以上，不断推动和落实好有关监督工作，为美丽四川建设作出应有贡献。</w:t>
            </w:r>
          </w:p>
        </w:tc>
        <w:tc>
          <w:tcPr>
            <w:tcW w:w="206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9DE49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全年完成完成长江生态环境调研</w:t>
            </w:r>
            <w:r>
              <w:rPr>
                <w:rFonts w:hint="default" w:ascii="Times New Roman" w:hAnsi="Times New Roman" w:eastAsia="宋体" w:cs="Times New Roman"/>
                <w:i w:val="0"/>
                <w:iCs w:val="0"/>
                <w:color w:val="000000"/>
                <w:kern w:val="0"/>
                <w:sz w:val="18"/>
                <w:szCs w:val="18"/>
                <w:u w:val="none"/>
                <w:lang w:val="en-US" w:eastAsia="zh-CN" w:bidi="ar"/>
              </w:rPr>
              <w:t>6</w:t>
            </w:r>
            <w:r>
              <w:rPr>
                <w:rFonts w:ascii="方正仿宋_GB2312" w:hAnsi="方正仿宋_GB2312" w:eastAsia="方正仿宋_GB2312" w:cs="方正仿宋_GB2312"/>
                <w:i w:val="0"/>
                <w:iCs w:val="0"/>
                <w:color w:val="000000"/>
                <w:kern w:val="0"/>
                <w:sz w:val="18"/>
                <w:szCs w:val="18"/>
                <w:u w:val="none"/>
                <w:lang w:val="en-US" w:eastAsia="zh-CN" w:bidi="ar"/>
              </w:rPr>
              <w:t>次，上报建议、意见</w:t>
            </w:r>
            <w:r>
              <w:rPr>
                <w:rFonts w:hint="default" w:ascii="Times New Roman" w:hAnsi="Times New Roman" w:eastAsia="宋体" w:cs="Times New Roman"/>
                <w:i w:val="0"/>
                <w:iCs w:val="0"/>
                <w:color w:val="000000"/>
                <w:kern w:val="0"/>
                <w:sz w:val="18"/>
                <w:szCs w:val="18"/>
                <w:u w:val="none"/>
                <w:lang w:val="en-US" w:eastAsia="zh-CN" w:bidi="ar"/>
              </w:rPr>
              <w:t>18</w:t>
            </w:r>
            <w:r>
              <w:rPr>
                <w:rFonts w:ascii="方正仿宋_GB2312" w:hAnsi="方正仿宋_GB2312" w:eastAsia="方正仿宋_GB2312" w:cs="方正仿宋_GB2312"/>
                <w:i w:val="0"/>
                <w:iCs w:val="0"/>
                <w:color w:val="000000"/>
                <w:kern w:val="0"/>
                <w:sz w:val="18"/>
                <w:szCs w:val="18"/>
                <w:u w:val="none"/>
                <w:lang w:val="en-US" w:eastAsia="zh-CN" w:bidi="ar"/>
              </w:rPr>
              <w:t>条，上报的信息、建议、报告获得省领导批示</w:t>
            </w:r>
            <w:r>
              <w:rPr>
                <w:rFonts w:hint="default" w:ascii="Times New Roman" w:hAnsi="Times New Roman" w:eastAsia="宋体" w:cs="Times New Roman"/>
                <w:i w:val="0"/>
                <w:iCs w:val="0"/>
                <w:color w:val="000000"/>
                <w:kern w:val="0"/>
                <w:sz w:val="18"/>
                <w:szCs w:val="18"/>
                <w:u w:val="none"/>
                <w:lang w:val="en-US" w:eastAsia="zh-CN" w:bidi="ar"/>
              </w:rPr>
              <w:t>2</w:t>
            </w:r>
            <w:r>
              <w:rPr>
                <w:rFonts w:ascii="方正仿宋_GB2312" w:hAnsi="方正仿宋_GB2312" w:eastAsia="方正仿宋_GB2312" w:cs="方正仿宋_GB2312"/>
                <w:i w:val="0"/>
                <w:iCs w:val="0"/>
                <w:color w:val="000000"/>
                <w:kern w:val="0"/>
                <w:sz w:val="18"/>
                <w:szCs w:val="18"/>
                <w:u w:val="none"/>
                <w:lang w:val="en-US" w:eastAsia="zh-CN" w:bidi="ar"/>
              </w:rPr>
              <w:t>篇以上。全年媒体报道次数</w:t>
            </w:r>
            <w:r>
              <w:rPr>
                <w:rFonts w:hint="default" w:ascii="Times New Roman" w:hAnsi="Times New Roman" w:eastAsia="宋体" w:cs="Times New Roman"/>
                <w:i w:val="0"/>
                <w:iCs w:val="0"/>
                <w:color w:val="000000"/>
                <w:kern w:val="0"/>
                <w:sz w:val="18"/>
                <w:szCs w:val="18"/>
                <w:u w:val="none"/>
                <w:lang w:val="en-US" w:eastAsia="zh-CN" w:bidi="ar"/>
              </w:rPr>
              <w:t>6</w:t>
            </w:r>
            <w:r>
              <w:rPr>
                <w:rFonts w:ascii="方正仿宋_GB2312" w:hAnsi="方正仿宋_GB2312" w:eastAsia="方正仿宋_GB2312" w:cs="方正仿宋_GB2312"/>
                <w:i w:val="0"/>
                <w:iCs w:val="0"/>
                <w:color w:val="000000"/>
                <w:kern w:val="0"/>
                <w:sz w:val="18"/>
                <w:szCs w:val="18"/>
                <w:u w:val="none"/>
                <w:lang w:val="en-US" w:eastAsia="zh-CN" w:bidi="ar"/>
              </w:rPr>
              <w:t>次以上，不断推动和落实好有关监督工作，为美丽四川建设作出应有贡献。</w:t>
            </w:r>
          </w:p>
        </w:tc>
      </w:tr>
      <w:tr w14:paraId="70D1B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3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1ADAA2">
            <w:pPr>
              <w:rPr>
                <w:rFonts w:hint="default" w:ascii="Times New Roman" w:hAnsi="Times New Roman" w:eastAsia="宋体" w:cs="Times New Roman"/>
                <w:i w:val="0"/>
                <w:iCs w:val="0"/>
                <w:color w:val="000000"/>
                <w:sz w:val="18"/>
                <w:szCs w:val="18"/>
                <w:u w:val="none"/>
              </w:rPr>
            </w:pP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0FF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r>
              <w:rPr>
                <w:rFonts w:ascii="方正仿宋_GB2312" w:hAnsi="方正仿宋_GB2312" w:eastAsia="方正仿宋_GB2312" w:cs="方正仿宋_GB2312"/>
                <w:i w:val="0"/>
                <w:iCs w:val="0"/>
                <w:color w:val="000000"/>
                <w:kern w:val="0"/>
                <w:sz w:val="18"/>
                <w:szCs w:val="18"/>
                <w:u w:val="none"/>
                <w:lang w:val="en-US" w:eastAsia="zh-CN" w:bidi="ar"/>
              </w:rPr>
              <w:t>项目实施内容及过程概述</w:t>
            </w:r>
          </w:p>
        </w:tc>
        <w:tc>
          <w:tcPr>
            <w:tcW w:w="4101"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CB496F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按照年初计划执行。</w:t>
            </w:r>
          </w:p>
        </w:tc>
      </w:tr>
      <w:tr w14:paraId="14E0A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1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ED446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预算执行情况（</w:t>
            </w:r>
            <w:r>
              <w:rPr>
                <w:rFonts w:hint="default" w:ascii="Times New Roman" w:hAnsi="Times New Roman" w:eastAsia="宋体" w:cs="Times New Roman"/>
                <w:i w:val="0"/>
                <w:iCs w:val="0"/>
                <w:color w:val="000000"/>
                <w:kern w:val="0"/>
                <w:sz w:val="18"/>
                <w:szCs w:val="18"/>
                <w:u w:val="none"/>
                <w:lang w:val="en-US" w:eastAsia="zh-CN" w:bidi="ar"/>
              </w:rPr>
              <w:t>10</w:t>
            </w:r>
            <w:r>
              <w:rPr>
                <w:rFonts w:ascii="方正仿宋_GB2312" w:hAnsi="方正仿宋_GB2312" w:eastAsia="方正仿宋_GB2312" w:cs="方正仿宋_GB2312"/>
                <w:i w:val="0"/>
                <w:iCs w:val="0"/>
                <w:color w:val="000000"/>
                <w:kern w:val="0"/>
                <w:sz w:val="18"/>
                <w:szCs w:val="18"/>
                <w:u w:val="none"/>
                <w:lang w:val="en-US" w:eastAsia="zh-CN" w:bidi="ar"/>
              </w:rPr>
              <w:t>分）</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BDF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年度预算数（万元）</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07A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年初预算</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AE5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调整后预算数</w:t>
            </w:r>
          </w:p>
        </w:tc>
        <w:tc>
          <w:tcPr>
            <w:tcW w:w="89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D457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预算执行数</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CF9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预算执行率</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119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权重</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E3D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得分</w:t>
            </w:r>
          </w:p>
        </w:tc>
        <w:tc>
          <w:tcPr>
            <w:tcW w:w="11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0F9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原因</w:t>
            </w:r>
          </w:p>
        </w:tc>
      </w:tr>
      <w:tr w14:paraId="5490F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3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5DCE66">
            <w:pPr>
              <w:jc w:val="center"/>
              <w:rPr>
                <w:rFonts w:hint="default" w:ascii="Times New Roman" w:hAnsi="Times New Roman" w:eastAsia="宋体" w:cs="Times New Roman"/>
                <w:i w:val="0"/>
                <w:iCs w:val="0"/>
                <w:color w:val="000000"/>
                <w:sz w:val="18"/>
                <w:szCs w:val="18"/>
                <w:u w:val="none"/>
              </w:rPr>
            </w:pP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84D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总额</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013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15.00</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1A9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15.00</w:t>
            </w:r>
          </w:p>
        </w:tc>
        <w:tc>
          <w:tcPr>
            <w:tcW w:w="89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DE0B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15.00</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2D3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0D3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FC1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11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FDEB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iCs/>
                <w:color w:val="000000"/>
                <w:sz w:val="18"/>
                <w:szCs w:val="18"/>
                <w:u w:val="none"/>
              </w:rPr>
            </w:pPr>
            <w:r>
              <w:rPr>
                <w:rFonts w:hint="eastAsia" w:ascii="方正仿宋_GB2312" w:hAnsi="方正仿宋_GB2312" w:eastAsia="方正仿宋_GB2312" w:cs="方正仿宋_GB2312"/>
                <w:i/>
                <w:iCs/>
                <w:color w:val="000000"/>
                <w:kern w:val="0"/>
                <w:sz w:val="18"/>
                <w:szCs w:val="18"/>
                <w:u w:val="none"/>
                <w:lang w:val="en-US" w:eastAsia="zh-CN" w:bidi="ar"/>
              </w:rPr>
              <w:t>该项目预算执行率为</w:t>
            </w:r>
            <w:r>
              <w:rPr>
                <w:rFonts w:hint="default" w:ascii="Times New Roman" w:hAnsi="Times New Roman" w:eastAsia="宋体" w:cs="Times New Roman"/>
                <w:i/>
                <w:iCs/>
                <w:color w:val="000000"/>
                <w:kern w:val="0"/>
                <w:sz w:val="18"/>
                <w:szCs w:val="18"/>
                <w:u w:val="none"/>
                <w:lang w:val="en-US" w:eastAsia="zh-CN" w:bidi="ar"/>
              </w:rPr>
              <w:t>100%</w:t>
            </w:r>
            <w:r>
              <w:rPr>
                <w:rFonts w:hint="eastAsia" w:ascii="方正仿宋_GB2312" w:hAnsi="方正仿宋_GB2312" w:eastAsia="方正仿宋_GB2312" w:cs="方正仿宋_GB2312"/>
                <w:i/>
                <w:iCs/>
                <w:color w:val="000000"/>
                <w:kern w:val="0"/>
                <w:sz w:val="18"/>
                <w:szCs w:val="18"/>
                <w:u w:val="none"/>
                <w:lang w:val="en-US" w:eastAsia="zh-CN" w:bidi="ar"/>
              </w:rPr>
              <w:t>，完成长江生态环境调研次数量</w:t>
            </w:r>
            <w:r>
              <w:rPr>
                <w:rFonts w:hint="default" w:ascii="Times New Roman" w:hAnsi="Times New Roman" w:eastAsia="宋体" w:cs="Times New Roman"/>
                <w:i/>
                <w:iCs/>
                <w:color w:val="000000"/>
                <w:kern w:val="0"/>
                <w:sz w:val="18"/>
                <w:szCs w:val="18"/>
                <w:u w:val="none"/>
                <w:lang w:val="en-US" w:eastAsia="zh-CN" w:bidi="ar"/>
              </w:rPr>
              <w:t>6</w:t>
            </w:r>
            <w:r>
              <w:rPr>
                <w:rFonts w:hint="eastAsia" w:ascii="方正仿宋_GB2312" w:hAnsi="方正仿宋_GB2312" w:eastAsia="方正仿宋_GB2312" w:cs="方正仿宋_GB2312"/>
                <w:i/>
                <w:iCs/>
                <w:color w:val="000000"/>
                <w:kern w:val="0"/>
                <w:sz w:val="18"/>
                <w:szCs w:val="18"/>
                <w:u w:val="none"/>
                <w:lang w:val="en-US" w:eastAsia="zh-CN" w:bidi="ar"/>
              </w:rPr>
              <w:t>次。</w:t>
            </w:r>
          </w:p>
        </w:tc>
      </w:tr>
      <w:tr w14:paraId="48B7F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3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8638C8">
            <w:pPr>
              <w:jc w:val="center"/>
              <w:rPr>
                <w:rFonts w:hint="default" w:ascii="Times New Roman" w:hAnsi="Times New Roman" w:eastAsia="宋体" w:cs="Times New Roman"/>
                <w:i w:val="0"/>
                <w:iCs w:val="0"/>
                <w:color w:val="000000"/>
                <w:sz w:val="18"/>
                <w:szCs w:val="18"/>
                <w:u w:val="none"/>
              </w:rPr>
            </w:pP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D84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其中：财政资金</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495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15.00</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C49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15.00</w:t>
            </w:r>
          </w:p>
        </w:tc>
        <w:tc>
          <w:tcPr>
            <w:tcW w:w="89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413D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15.00</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2D4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98C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94C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1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FB9D7C">
            <w:pPr>
              <w:keepNext w:val="0"/>
              <w:keepLines w:val="0"/>
              <w:pageBreakBefore w:val="0"/>
              <w:widowControl/>
              <w:kinsoku/>
              <w:wordWrap/>
              <w:overflowPunct/>
              <w:topLinePunct w:val="0"/>
              <w:autoSpaceDE/>
              <w:autoSpaceDN/>
              <w:bidi w:val="0"/>
              <w:adjustRightInd/>
              <w:snapToGrid/>
              <w:spacing w:line="240" w:lineRule="exact"/>
              <w:rPr>
                <w:rFonts w:hint="default" w:ascii="Times New Roman" w:hAnsi="Times New Roman" w:eastAsia="宋体" w:cs="Times New Roman"/>
                <w:i/>
                <w:iCs/>
                <w:color w:val="000000"/>
                <w:sz w:val="18"/>
                <w:szCs w:val="18"/>
                <w:u w:val="none"/>
              </w:rPr>
            </w:pPr>
          </w:p>
        </w:tc>
      </w:tr>
      <w:tr w14:paraId="7D0B8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3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0369C1">
            <w:pPr>
              <w:jc w:val="center"/>
              <w:rPr>
                <w:rFonts w:hint="default" w:ascii="Times New Roman" w:hAnsi="Times New Roman" w:eastAsia="宋体" w:cs="Times New Roman"/>
                <w:i w:val="0"/>
                <w:iCs w:val="0"/>
                <w:color w:val="000000"/>
                <w:sz w:val="18"/>
                <w:szCs w:val="18"/>
                <w:u w:val="none"/>
              </w:rPr>
            </w:pP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9B3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财政专户管理资金</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6E6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48F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89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2BF8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339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C21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E05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1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493DBD">
            <w:pPr>
              <w:keepNext w:val="0"/>
              <w:keepLines w:val="0"/>
              <w:pageBreakBefore w:val="0"/>
              <w:widowControl/>
              <w:kinsoku/>
              <w:wordWrap/>
              <w:overflowPunct/>
              <w:topLinePunct w:val="0"/>
              <w:autoSpaceDE/>
              <w:autoSpaceDN/>
              <w:bidi w:val="0"/>
              <w:adjustRightInd/>
              <w:snapToGrid/>
              <w:spacing w:line="240" w:lineRule="exact"/>
              <w:rPr>
                <w:rFonts w:hint="default" w:ascii="Times New Roman" w:hAnsi="Times New Roman" w:eastAsia="宋体" w:cs="Times New Roman"/>
                <w:i/>
                <w:iCs/>
                <w:color w:val="000000"/>
                <w:sz w:val="18"/>
                <w:szCs w:val="18"/>
                <w:u w:val="none"/>
              </w:rPr>
            </w:pPr>
          </w:p>
        </w:tc>
      </w:tr>
      <w:tr w14:paraId="114CE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F07AEC">
            <w:pPr>
              <w:jc w:val="center"/>
              <w:rPr>
                <w:rFonts w:hint="default" w:ascii="Times New Roman" w:hAnsi="Times New Roman" w:eastAsia="宋体" w:cs="Times New Roman"/>
                <w:i w:val="0"/>
                <w:iCs w:val="0"/>
                <w:color w:val="000000"/>
                <w:sz w:val="18"/>
                <w:szCs w:val="18"/>
                <w:u w:val="none"/>
              </w:rPr>
            </w:pP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E8B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单位资金</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2EE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150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89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F3AD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516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203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EF3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1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176D77">
            <w:pPr>
              <w:keepNext w:val="0"/>
              <w:keepLines w:val="0"/>
              <w:pageBreakBefore w:val="0"/>
              <w:widowControl/>
              <w:kinsoku/>
              <w:wordWrap/>
              <w:overflowPunct/>
              <w:topLinePunct w:val="0"/>
              <w:autoSpaceDE/>
              <w:autoSpaceDN/>
              <w:bidi w:val="0"/>
              <w:adjustRightInd/>
              <w:snapToGrid/>
              <w:spacing w:line="240" w:lineRule="exact"/>
              <w:rPr>
                <w:rFonts w:hint="default" w:ascii="Times New Roman" w:hAnsi="Times New Roman" w:eastAsia="宋体" w:cs="Times New Roman"/>
                <w:i/>
                <w:iCs/>
                <w:color w:val="000000"/>
                <w:sz w:val="18"/>
                <w:szCs w:val="18"/>
                <w:u w:val="none"/>
              </w:rPr>
            </w:pPr>
          </w:p>
        </w:tc>
      </w:tr>
      <w:tr w14:paraId="46240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FCDADC">
            <w:pPr>
              <w:jc w:val="center"/>
              <w:rPr>
                <w:rFonts w:hint="default" w:ascii="Times New Roman" w:hAnsi="Times New Roman" w:eastAsia="宋体" w:cs="Times New Roman"/>
                <w:i w:val="0"/>
                <w:iCs w:val="0"/>
                <w:color w:val="000000"/>
                <w:sz w:val="18"/>
                <w:szCs w:val="18"/>
                <w:u w:val="none"/>
              </w:rPr>
            </w:pP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FE8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其他资金</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B29C4">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iCs/>
                <w:color w:val="000000"/>
                <w:sz w:val="16"/>
                <w:szCs w:val="16"/>
                <w:u w:val="none"/>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E74D4">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iCs/>
                <w:color w:val="000000"/>
                <w:sz w:val="16"/>
                <w:szCs w:val="16"/>
                <w:u w:val="none"/>
              </w:rPr>
            </w:pPr>
          </w:p>
        </w:tc>
        <w:tc>
          <w:tcPr>
            <w:tcW w:w="89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48061D">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iCs/>
                <w:color w:val="000000"/>
                <w:sz w:val="16"/>
                <w:szCs w:val="16"/>
                <w:u w:val="none"/>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6E670">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iCs/>
                <w:color w:val="000000"/>
                <w:sz w:val="16"/>
                <w:szCs w:val="16"/>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630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13A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1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AA81C0">
            <w:pPr>
              <w:keepNext w:val="0"/>
              <w:keepLines w:val="0"/>
              <w:pageBreakBefore w:val="0"/>
              <w:widowControl/>
              <w:kinsoku/>
              <w:wordWrap/>
              <w:overflowPunct/>
              <w:topLinePunct w:val="0"/>
              <w:autoSpaceDE/>
              <w:autoSpaceDN/>
              <w:bidi w:val="0"/>
              <w:adjustRightInd/>
              <w:snapToGrid/>
              <w:spacing w:line="240" w:lineRule="exact"/>
              <w:rPr>
                <w:rFonts w:hint="default" w:ascii="Times New Roman" w:hAnsi="Times New Roman" w:eastAsia="宋体" w:cs="Times New Roman"/>
                <w:i/>
                <w:iCs/>
                <w:color w:val="000000"/>
                <w:sz w:val="18"/>
                <w:szCs w:val="18"/>
                <w:u w:val="none"/>
              </w:rPr>
            </w:pPr>
          </w:p>
        </w:tc>
      </w:tr>
      <w:tr w14:paraId="41C7F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1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D6DBB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绩效指标（</w:t>
            </w:r>
            <w:r>
              <w:rPr>
                <w:rFonts w:hint="default" w:ascii="Times New Roman" w:hAnsi="Times New Roman" w:eastAsia="宋体" w:cs="Times New Roman"/>
                <w:i w:val="0"/>
                <w:iCs w:val="0"/>
                <w:color w:val="000000"/>
                <w:kern w:val="0"/>
                <w:sz w:val="18"/>
                <w:szCs w:val="18"/>
                <w:u w:val="none"/>
                <w:lang w:val="en-US" w:eastAsia="zh-CN" w:bidi="ar"/>
              </w:rPr>
              <w:t>90</w:t>
            </w:r>
            <w:r>
              <w:rPr>
                <w:rFonts w:ascii="方正仿宋_GB2312" w:hAnsi="方正仿宋_GB2312" w:eastAsia="方正仿宋_GB2312" w:cs="方正仿宋_GB2312"/>
                <w:i w:val="0"/>
                <w:iCs w:val="0"/>
                <w:color w:val="000000"/>
                <w:kern w:val="0"/>
                <w:sz w:val="18"/>
                <w:szCs w:val="18"/>
                <w:u w:val="none"/>
                <w:lang w:val="en-US" w:eastAsia="zh-CN" w:bidi="ar"/>
              </w:rPr>
              <w:t>分）</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E27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一级指标</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B7D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二级指标</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B35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三级指标</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358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指标性质</w:t>
            </w:r>
          </w:p>
        </w:tc>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A5A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指标值</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368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度量单位</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DDB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完成值</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2DA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权重</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12A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得分</w:t>
            </w:r>
          </w:p>
        </w:tc>
        <w:tc>
          <w:tcPr>
            <w:tcW w:w="11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CE1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未完成原因分析</w:t>
            </w:r>
          </w:p>
        </w:tc>
      </w:tr>
      <w:tr w14:paraId="227B5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900BC4">
            <w:pPr>
              <w:jc w:val="center"/>
              <w:rPr>
                <w:rFonts w:hint="default" w:ascii="Times New Roman" w:hAnsi="Times New Roman" w:eastAsia="宋体" w:cs="Times New Roman"/>
                <w:i w:val="0"/>
                <w:iCs w:val="0"/>
                <w:color w:val="000000"/>
                <w:sz w:val="18"/>
                <w:szCs w:val="18"/>
                <w:u w:val="none"/>
              </w:rPr>
            </w:pPr>
          </w:p>
        </w:tc>
        <w:tc>
          <w:tcPr>
            <w:tcW w:w="5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4E23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产出指标</w:t>
            </w:r>
          </w:p>
        </w:tc>
        <w:tc>
          <w:tcPr>
            <w:tcW w:w="49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42ED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数量指标</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B91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上报建议，意见数</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04C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7D7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E7E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篇</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44B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iCs/>
                <w:color w:val="000000"/>
                <w:sz w:val="18"/>
                <w:szCs w:val="18"/>
                <w:u w:val="none"/>
              </w:rPr>
            </w:pPr>
            <w:r>
              <w:rPr>
                <w:rFonts w:hint="default" w:ascii="Times New Roman" w:hAnsi="Times New Roman" w:eastAsia="宋体" w:cs="Times New Roman"/>
                <w:i/>
                <w:iCs/>
                <w:color w:val="000000"/>
                <w:kern w:val="0"/>
                <w:sz w:val="18"/>
                <w:szCs w:val="18"/>
                <w:u w:val="none"/>
                <w:lang w:val="en-US" w:eastAsia="zh-CN" w:bidi="ar"/>
              </w:rPr>
              <w:t>18</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DF5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5E1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w:t>
            </w:r>
          </w:p>
        </w:tc>
        <w:tc>
          <w:tcPr>
            <w:tcW w:w="11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13389">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iCs/>
                <w:color w:val="000000"/>
                <w:sz w:val="16"/>
                <w:szCs w:val="16"/>
                <w:u w:val="none"/>
              </w:rPr>
            </w:pPr>
          </w:p>
        </w:tc>
      </w:tr>
      <w:tr w14:paraId="37870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77D208">
            <w:pPr>
              <w:jc w:val="center"/>
              <w:rPr>
                <w:rFonts w:hint="default" w:ascii="Times New Roman" w:hAnsi="Times New Roman" w:eastAsia="宋体" w:cs="Times New Roman"/>
                <w:i w:val="0"/>
                <w:iCs w:val="0"/>
                <w:color w:val="000000"/>
                <w:sz w:val="18"/>
                <w:szCs w:val="18"/>
                <w:u w:val="none"/>
              </w:rPr>
            </w:pPr>
          </w:p>
        </w:tc>
        <w:tc>
          <w:tcPr>
            <w:tcW w:w="5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10AE02">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18"/>
                <w:szCs w:val="18"/>
                <w:u w:val="none"/>
              </w:rPr>
            </w:pPr>
          </w:p>
        </w:tc>
        <w:tc>
          <w:tcPr>
            <w:tcW w:w="4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0F7CF3">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18"/>
                <w:szCs w:val="18"/>
                <w:u w:val="none"/>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9BB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长度重生态环境调研次数</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E18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82A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824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次</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AD7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iCs/>
                <w:color w:val="000000"/>
                <w:sz w:val="18"/>
                <w:szCs w:val="18"/>
                <w:u w:val="none"/>
              </w:rPr>
            </w:pPr>
            <w:r>
              <w:rPr>
                <w:rFonts w:hint="default" w:ascii="Times New Roman" w:hAnsi="Times New Roman" w:eastAsia="宋体" w:cs="Times New Roman"/>
                <w:i/>
                <w:iCs/>
                <w:color w:val="000000"/>
                <w:kern w:val="0"/>
                <w:sz w:val="18"/>
                <w:szCs w:val="18"/>
                <w:u w:val="none"/>
                <w:lang w:val="en-US" w:eastAsia="zh-CN" w:bidi="ar"/>
              </w:rPr>
              <w:t>6</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921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D74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w:t>
            </w:r>
          </w:p>
        </w:tc>
        <w:tc>
          <w:tcPr>
            <w:tcW w:w="11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2FEB4">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iCs/>
                <w:color w:val="000000"/>
                <w:sz w:val="16"/>
                <w:szCs w:val="16"/>
                <w:u w:val="none"/>
              </w:rPr>
            </w:pPr>
          </w:p>
        </w:tc>
      </w:tr>
      <w:tr w14:paraId="3D4C4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AACA4C">
            <w:pPr>
              <w:jc w:val="center"/>
              <w:rPr>
                <w:rFonts w:hint="default" w:ascii="Times New Roman" w:hAnsi="Times New Roman" w:eastAsia="宋体" w:cs="Times New Roman"/>
                <w:i w:val="0"/>
                <w:iCs w:val="0"/>
                <w:color w:val="000000"/>
                <w:sz w:val="18"/>
                <w:szCs w:val="18"/>
                <w:u w:val="none"/>
              </w:rPr>
            </w:pPr>
          </w:p>
        </w:tc>
        <w:tc>
          <w:tcPr>
            <w:tcW w:w="5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6D6A50">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18"/>
                <w:szCs w:val="18"/>
                <w:u w:val="none"/>
              </w:rPr>
            </w:pP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14C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质量指标</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8D6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上报信息，建议，获批示往篇数</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2C0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209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BB7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篇</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D2F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iCs/>
                <w:color w:val="000000"/>
                <w:sz w:val="18"/>
                <w:szCs w:val="18"/>
                <w:u w:val="none"/>
              </w:rPr>
            </w:pPr>
            <w:r>
              <w:rPr>
                <w:rFonts w:hint="default" w:ascii="Times New Roman" w:hAnsi="Times New Roman" w:eastAsia="宋体" w:cs="Times New Roman"/>
                <w:i/>
                <w:iCs/>
                <w:color w:val="000000"/>
                <w:kern w:val="0"/>
                <w:sz w:val="18"/>
                <w:szCs w:val="18"/>
                <w:u w:val="none"/>
                <w:lang w:val="en-US" w:eastAsia="zh-CN" w:bidi="ar"/>
              </w:rPr>
              <w:t>1</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029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0BB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w:t>
            </w:r>
          </w:p>
        </w:tc>
        <w:tc>
          <w:tcPr>
            <w:tcW w:w="11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2BBBA">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iCs/>
                <w:color w:val="000000"/>
                <w:sz w:val="16"/>
                <w:szCs w:val="16"/>
                <w:u w:val="none"/>
              </w:rPr>
            </w:pPr>
          </w:p>
        </w:tc>
      </w:tr>
      <w:tr w14:paraId="5BAA0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8B932F">
            <w:pPr>
              <w:jc w:val="center"/>
              <w:rPr>
                <w:rFonts w:hint="default" w:ascii="Times New Roman" w:hAnsi="Times New Roman" w:eastAsia="宋体" w:cs="Times New Roman"/>
                <w:i w:val="0"/>
                <w:iCs w:val="0"/>
                <w:color w:val="000000"/>
                <w:sz w:val="18"/>
                <w:szCs w:val="18"/>
                <w:u w:val="none"/>
              </w:rPr>
            </w:pPr>
          </w:p>
        </w:tc>
        <w:tc>
          <w:tcPr>
            <w:tcW w:w="5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FA102">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18"/>
                <w:szCs w:val="18"/>
                <w:u w:val="none"/>
              </w:rPr>
            </w:pP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193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时效指标</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19E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完成全年工作</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7BC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D09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360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AF8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天</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4A7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iCs/>
                <w:color w:val="000000"/>
                <w:sz w:val="18"/>
                <w:szCs w:val="18"/>
                <w:u w:val="none"/>
              </w:rPr>
            </w:pPr>
            <w:r>
              <w:rPr>
                <w:rFonts w:hint="default" w:ascii="Times New Roman" w:hAnsi="Times New Roman" w:eastAsia="宋体" w:cs="Times New Roman"/>
                <w:i/>
                <w:iCs/>
                <w:color w:val="000000"/>
                <w:kern w:val="0"/>
                <w:sz w:val="18"/>
                <w:szCs w:val="18"/>
                <w:u w:val="none"/>
                <w:lang w:val="en-US" w:eastAsia="zh-CN" w:bidi="ar"/>
              </w:rPr>
              <w:t>360</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081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F2D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w:t>
            </w:r>
          </w:p>
        </w:tc>
        <w:tc>
          <w:tcPr>
            <w:tcW w:w="11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ADA20">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iCs/>
                <w:color w:val="000000"/>
                <w:sz w:val="16"/>
                <w:szCs w:val="16"/>
                <w:u w:val="none"/>
              </w:rPr>
            </w:pPr>
          </w:p>
        </w:tc>
      </w:tr>
      <w:tr w14:paraId="6021F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9FF2E5">
            <w:pPr>
              <w:jc w:val="center"/>
              <w:rPr>
                <w:rFonts w:hint="default" w:ascii="Times New Roman" w:hAnsi="Times New Roman" w:eastAsia="宋体" w:cs="Times New Roman"/>
                <w:i w:val="0"/>
                <w:iCs w:val="0"/>
                <w:color w:val="000000"/>
                <w:sz w:val="18"/>
                <w:szCs w:val="18"/>
                <w:u w:val="none"/>
              </w:rPr>
            </w:pP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95C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效益指标</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B11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社会效益指标</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217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媒体报道次数</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A4C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1E0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876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次</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FD3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iCs/>
                <w:color w:val="000000"/>
                <w:sz w:val="18"/>
                <w:szCs w:val="18"/>
                <w:u w:val="none"/>
              </w:rPr>
            </w:pPr>
            <w:r>
              <w:rPr>
                <w:rFonts w:hint="default" w:ascii="Times New Roman" w:hAnsi="Times New Roman" w:eastAsia="宋体" w:cs="Times New Roman"/>
                <w:i/>
                <w:iCs/>
                <w:color w:val="000000"/>
                <w:kern w:val="0"/>
                <w:sz w:val="18"/>
                <w:szCs w:val="18"/>
                <w:u w:val="none"/>
                <w:lang w:val="en-US" w:eastAsia="zh-CN" w:bidi="ar"/>
              </w:rPr>
              <w:t>6</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922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AB4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w:t>
            </w:r>
          </w:p>
        </w:tc>
        <w:tc>
          <w:tcPr>
            <w:tcW w:w="11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8799F">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iCs/>
                <w:color w:val="000000"/>
                <w:sz w:val="16"/>
                <w:szCs w:val="16"/>
                <w:u w:val="none"/>
              </w:rPr>
            </w:pPr>
          </w:p>
        </w:tc>
      </w:tr>
      <w:tr w14:paraId="0FA5D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3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57C6DC">
            <w:pPr>
              <w:jc w:val="center"/>
              <w:rPr>
                <w:rFonts w:hint="default" w:ascii="Times New Roman" w:hAnsi="Times New Roman" w:eastAsia="宋体" w:cs="Times New Roman"/>
                <w:i w:val="0"/>
                <w:iCs w:val="0"/>
                <w:color w:val="000000"/>
                <w:sz w:val="18"/>
                <w:szCs w:val="18"/>
                <w:u w:val="none"/>
              </w:rPr>
            </w:pP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4F4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满意度指标</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97F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满意度指标</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FFC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工作满意度</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64C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BC9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91</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E71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09A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iCs/>
                <w:color w:val="000000"/>
                <w:sz w:val="18"/>
                <w:szCs w:val="18"/>
                <w:u w:val="none"/>
              </w:rPr>
            </w:pPr>
            <w:r>
              <w:rPr>
                <w:rFonts w:hint="default" w:ascii="Times New Roman" w:hAnsi="Times New Roman" w:eastAsia="宋体" w:cs="Times New Roman"/>
                <w:i/>
                <w:iCs/>
                <w:color w:val="000000"/>
                <w:kern w:val="0"/>
                <w:sz w:val="18"/>
                <w:szCs w:val="18"/>
                <w:u w:val="none"/>
                <w:lang w:val="en-US" w:eastAsia="zh-CN" w:bidi="ar"/>
              </w:rPr>
              <w:t>95</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896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779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w:t>
            </w:r>
          </w:p>
        </w:tc>
        <w:tc>
          <w:tcPr>
            <w:tcW w:w="11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370BA">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iCs/>
                <w:color w:val="000000"/>
                <w:sz w:val="16"/>
                <w:szCs w:val="16"/>
                <w:u w:val="none"/>
              </w:rPr>
            </w:pPr>
          </w:p>
        </w:tc>
      </w:tr>
      <w:tr w14:paraId="1ABF1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41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6DA0D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合计</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BDD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B36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98</w:t>
            </w:r>
          </w:p>
        </w:tc>
        <w:tc>
          <w:tcPr>
            <w:tcW w:w="11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A1B0C">
            <w:pPr>
              <w:keepNext w:val="0"/>
              <w:keepLines w:val="0"/>
              <w:pageBreakBefore w:val="0"/>
              <w:widowControl/>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18"/>
                <w:szCs w:val="18"/>
                <w:u w:val="none"/>
              </w:rPr>
            </w:pPr>
          </w:p>
        </w:tc>
      </w:tr>
      <w:tr w14:paraId="64069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8942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评价结论</w:t>
            </w:r>
          </w:p>
        </w:tc>
        <w:tc>
          <w:tcPr>
            <w:tcW w:w="468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EA9D66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该项目得分为</w:t>
            </w:r>
            <w:r>
              <w:rPr>
                <w:rFonts w:hint="default" w:ascii="Times New Roman" w:hAnsi="Times New Roman" w:eastAsia="宋体" w:cs="Times New Roman"/>
                <w:i w:val="0"/>
                <w:iCs w:val="0"/>
                <w:color w:val="000000"/>
                <w:kern w:val="0"/>
                <w:sz w:val="24"/>
                <w:szCs w:val="24"/>
                <w:u w:val="none"/>
                <w:lang w:val="en-US" w:eastAsia="zh-CN" w:bidi="ar"/>
              </w:rPr>
              <w:t>98</w:t>
            </w:r>
            <w:r>
              <w:rPr>
                <w:rFonts w:hint="eastAsia" w:ascii="方正仿宋_GB2312" w:hAnsi="方正仿宋_GB2312" w:eastAsia="方正仿宋_GB2312" w:cs="方正仿宋_GB2312"/>
                <w:i w:val="0"/>
                <w:iCs w:val="0"/>
                <w:color w:val="000000"/>
                <w:kern w:val="0"/>
                <w:sz w:val="24"/>
                <w:szCs w:val="24"/>
                <w:u w:val="none"/>
                <w:lang w:val="en-US" w:eastAsia="zh-CN" w:bidi="ar"/>
              </w:rPr>
              <w:t>分。按照年初的目标和要求实施。</w:t>
            </w:r>
          </w:p>
        </w:tc>
      </w:tr>
      <w:tr w14:paraId="3E37A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E3A8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存在问题</w:t>
            </w:r>
          </w:p>
        </w:tc>
        <w:tc>
          <w:tcPr>
            <w:tcW w:w="468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4FB4B86">
            <w:pPr>
              <w:keepNext w:val="0"/>
              <w:keepLines w:val="0"/>
              <w:widowControl/>
              <w:suppressLineNumbers w:val="0"/>
              <w:jc w:val="left"/>
              <w:textAlignment w:val="center"/>
              <w:rPr>
                <w:rFonts w:hint="default" w:ascii="Times New Roman" w:hAnsi="Times New Roman" w:eastAsia="宋体" w:cs="Times New Roman"/>
                <w:i/>
                <w:iCs/>
                <w:color w:val="000000"/>
                <w:sz w:val="16"/>
                <w:szCs w:val="16"/>
                <w:u w:val="none"/>
              </w:rPr>
            </w:pPr>
            <w:r>
              <w:rPr>
                <w:rFonts w:hint="eastAsia" w:ascii="方正仿宋_GB2312" w:hAnsi="方正仿宋_GB2312" w:eastAsia="方正仿宋_GB2312" w:cs="方正仿宋_GB2312"/>
                <w:i/>
                <w:iCs/>
                <w:color w:val="000000"/>
                <w:kern w:val="0"/>
                <w:sz w:val="16"/>
                <w:szCs w:val="16"/>
                <w:u w:val="none"/>
                <w:lang w:val="en-US" w:eastAsia="zh-CN" w:bidi="ar"/>
              </w:rPr>
              <w:t>无</w:t>
            </w:r>
          </w:p>
        </w:tc>
      </w:tr>
      <w:tr w14:paraId="5F14A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65E0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改进措施</w:t>
            </w:r>
          </w:p>
        </w:tc>
        <w:tc>
          <w:tcPr>
            <w:tcW w:w="468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66856BD">
            <w:pPr>
              <w:keepNext w:val="0"/>
              <w:keepLines w:val="0"/>
              <w:widowControl/>
              <w:suppressLineNumbers w:val="0"/>
              <w:jc w:val="left"/>
              <w:textAlignment w:val="center"/>
              <w:rPr>
                <w:rFonts w:hint="default" w:ascii="Times New Roman" w:hAnsi="Times New Roman" w:eastAsia="宋体" w:cs="Times New Roman"/>
                <w:i/>
                <w:iCs/>
                <w:color w:val="000000"/>
                <w:sz w:val="16"/>
                <w:szCs w:val="16"/>
                <w:u w:val="none"/>
              </w:rPr>
            </w:pPr>
            <w:r>
              <w:rPr>
                <w:rFonts w:hint="eastAsia" w:ascii="方正仿宋_GB2312" w:hAnsi="方正仿宋_GB2312" w:eastAsia="方正仿宋_GB2312" w:cs="方正仿宋_GB2312"/>
                <w:i/>
                <w:iCs/>
                <w:color w:val="000000"/>
                <w:kern w:val="0"/>
                <w:sz w:val="16"/>
                <w:szCs w:val="16"/>
                <w:u w:val="none"/>
                <w:lang w:val="en-US" w:eastAsia="zh-CN" w:bidi="ar"/>
              </w:rPr>
              <w:t>无</w:t>
            </w:r>
          </w:p>
        </w:tc>
      </w:tr>
      <w:tr w14:paraId="67D49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26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DBC1C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项目负责人：</w:t>
            </w:r>
          </w:p>
        </w:tc>
        <w:tc>
          <w:tcPr>
            <w:tcW w:w="273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472DE7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方正仿宋_GB2312" w:hAnsi="方正仿宋_GB2312" w:eastAsia="方正仿宋_GB2312" w:cs="方正仿宋_GB2312"/>
                <w:i w:val="0"/>
                <w:iCs w:val="0"/>
                <w:color w:val="000000"/>
                <w:kern w:val="0"/>
                <w:sz w:val="18"/>
                <w:szCs w:val="18"/>
                <w:u w:val="none"/>
                <w:lang w:val="en-US" w:eastAsia="zh-CN" w:bidi="ar"/>
              </w:rPr>
              <w:t>财务负责人：</w:t>
            </w:r>
          </w:p>
        </w:tc>
      </w:tr>
    </w:tbl>
    <w:p w14:paraId="35DB0BC1">
      <w:pPr>
        <w:widowControl/>
        <w:jc w:val="center"/>
        <w:rPr>
          <w:rFonts w:hint="eastAsia" w:ascii="Times New Roman" w:hAnsi="Times New Roman" w:eastAsia="黑体"/>
          <w:color w:val="auto"/>
          <w:sz w:val="44"/>
          <w:szCs w:val="44"/>
          <w:highlight w:val="none"/>
        </w:rPr>
        <w:sectPr>
          <w:pgSz w:w="11906" w:h="16838"/>
          <w:pgMar w:top="1440" w:right="1800" w:bottom="1440" w:left="1800" w:header="851" w:footer="992" w:gutter="0"/>
          <w:pgNumType w:fmt="decimal"/>
          <w:cols w:space="425" w:num="1"/>
          <w:docGrid w:type="lines" w:linePitch="312" w:charSpace="0"/>
        </w:sectPr>
      </w:pPr>
    </w:p>
    <w:p w14:paraId="3E5E2E3D">
      <w:pPr>
        <w:spacing w:line="600" w:lineRule="exact"/>
        <w:jc w:val="center"/>
        <w:outlineLvl w:val="0"/>
        <w:rPr>
          <w:rFonts w:hint="eastAsia" w:ascii="Times New Roman" w:hAnsi="Times New Roman" w:eastAsia="黑体"/>
          <w:color w:val="auto"/>
          <w:sz w:val="44"/>
          <w:szCs w:val="44"/>
          <w:highlight w:val="none"/>
        </w:rPr>
      </w:pPr>
      <w:bookmarkStart w:id="73" w:name="_Toc6849"/>
      <w:r>
        <w:rPr>
          <w:rFonts w:hint="eastAsia" w:ascii="Times New Roman" w:hAnsi="Times New Roman" w:eastAsia="黑体"/>
          <w:color w:val="auto"/>
          <w:sz w:val="44"/>
          <w:szCs w:val="44"/>
          <w:highlight w:val="none"/>
        </w:rPr>
        <w:t>第五部分 附表</w:t>
      </w:r>
      <w:bookmarkEnd w:id="68"/>
      <w:bookmarkEnd w:id="72"/>
      <w:bookmarkEnd w:id="73"/>
      <w:bookmarkStart w:id="74" w:name="_Toc15396619"/>
    </w:p>
    <w:p w14:paraId="62F1332E">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13A07309">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75" w:name="_Toc3606"/>
      <w:r>
        <w:rPr>
          <w:rFonts w:hint="eastAsia" w:ascii="Times New Roman" w:hAnsi="Times New Roman" w:eastAsia="仿宋_GB2312" w:cs="仿宋_GB2312"/>
          <w:color w:val="auto"/>
          <w:sz w:val="32"/>
          <w:szCs w:val="32"/>
          <w:highlight w:val="none"/>
        </w:rPr>
        <w:t>一、收入支出决算总表</w:t>
      </w:r>
      <w:bookmarkEnd w:id="74"/>
      <w:bookmarkEnd w:id="75"/>
    </w:p>
    <w:p w14:paraId="00C3ADD7">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76" w:name="_Toc15396620"/>
      <w:bookmarkStart w:id="77" w:name="_Toc5366"/>
      <w:r>
        <w:rPr>
          <w:rFonts w:hint="eastAsia" w:ascii="Times New Roman" w:hAnsi="Times New Roman" w:eastAsia="仿宋_GB2312" w:cs="仿宋_GB2312"/>
          <w:color w:val="auto"/>
          <w:sz w:val="32"/>
          <w:szCs w:val="32"/>
          <w:highlight w:val="none"/>
        </w:rPr>
        <w:t>二、收入决算表</w:t>
      </w:r>
      <w:bookmarkEnd w:id="76"/>
      <w:bookmarkEnd w:id="77"/>
    </w:p>
    <w:p w14:paraId="263841D4">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78" w:name="_Toc15396621"/>
      <w:bookmarkStart w:id="79" w:name="_Toc23278"/>
      <w:r>
        <w:rPr>
          <w:rFonts w:hint="eastAsia" w:ascii="Times New Roman" w:hAnsi="Times New Roman" w:eastAsia="仿宋_GB2312" w:cs="仿宋_GB2312"/>
          <w:color w:val="auto"/>
          <w:sz w:val="32"/>
          <w:szCs w:val="32"/>
          <w:highlight w:val="none"/>
        </w:rPr>
        <w:t>三、支出决算表</w:t>
      </w:r>
      <w:bookmarkEnd w:id="78"/>
      <w:bookmarkEnd w:id="79"/>
    </w:p>
    <w:p w14:paraId="74160C10">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80" w:name="_Toc16815"/>
      <w:bookmarkStart w:id="81" w:name="_Toc15396622"/>
      <w:r>
        <w:rPr>
          <w:rFonts w:hint="eastAsia" w:ascii="Times New Roman" w:hAnsi="Times New Roman" w:eastAsia="仿宋_GB2312" w:cs="仿宋_GB2312"/>
          <w:color w:val="auto"/>
          <w:sz w:val="32"/>
          <w:szCs w:val="32"/>
          <w:highlight w:val="none"/>
        </w:rPr>
        <w:t>四、财政拨款收入支出决算总表</w:t>
      </w:r>
      <w:bookmarkEnd w:id="80"/>
      <w:bookmarkEnd w:id="81"/>
    </w:p>
    <w:p w14:paraId="606D0B45">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82" w:name="_Toc15396623"/>
      <w:bookmarkStart w:id="83" w:name="_Toc18975"/>
      <w:r>
        <w:rPr>
          <w:rFonts w:hint="eastAsia" w:ascii="Times New Roman" w:hAnsi="Times New Roman" w:eastAsia="仿宋_GB2312" w:cs="仿宋_GB2312"/>
          <w:color w:val="auto"/>
          <w:sz w:val="32"/>
          <w:szCs w:val="32"/>
          <w:highlight w:val="none"/>
        </w:rPr>
        <w:t>五、财政拨款支出决算明细表</w:t>
      </w:r>
      <w:bookmarkEnd w:id="82"/>
      <w:bookmarkEnd w:id="83"/>
      <w:bookmarkStart w:id="84" w:name="_Toc15396624"/>
    </w:p>
    <w:p w14:paraId="44AE7EF0">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85" w:name="_Toc1704"/>
      <w:r>
        <w:rPr>
          <w:rFonts w:hint="eastAsia" w:ascii="Times New Roman" w:hAnsi="Times New Roman" w:eastAsia="仿宋_GB2312" w:cs="仿宋_GB2312"/>
          <w:color w:val="auto"/>
          <w:sz w:val="32"/>
          <w:szCs w:val="32"/>
          <w:highlight w:val="none"/>
        </w:rPr>
        <w:t>六、一般公共预算财政拨款支出决算表</w:t>
      </w:r>
      <w:bookmarkEnd w:id="84"/>
      <w:bookmarkEnd w:id="85"/>
    </w:p>
    <w:p w14:paraId="1B3FFA11">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86" w:name="_Toc27570"/>
      <w:bookmarkStart w:id="87" w:name="_Toc15396625"/>
      <w:r>
        <w:rPr>
          <w:rFonts w:hint="eastAsia" w:ascii="Times New Roman" w:hAnsi="Times New Roman" w:eastAsia="仿宋_GB2312" w:cs="仿宋_GB2312"/>
          <w:color w:val="auto"/>
          <w:sz w:val="32"/>
          <w:szCs w:val="32"/>
          <w:highlight w:val="none"/>
        </w:rPr>
        <w:t>七、一般公共预算财政拨款支出决算明细表</w:t>
      </w:r>
      <w:bookmarkEnd w:id="86"/>
      <w:bookmarkEnd w:id="87"/>
    </w:p>
    <w:p w14:paraId="46A805DE">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88" w:name="_Toc22552"/>
      <w:bookmarkStart w:id="89" w:name="_Toc15396626"/>
      <w:r>
        <w:rPr>
          <w:rFonts w:hint="eastAsia" w:ascii="Times New Roman" w:hAnsi="Times New Roman" w:eastAsia="仿宋_GB2312" w:cs="仿宋_GB2312"/>
          <w:color w:val="auto"/>
          <w:sz w:val="32"/>
          <w:szCs w:val="32"/>
          <w:highlight w:val="none"/>
        </w:rPr>
        <w:t>八、一般公共预算财政拨款基本支出决算表</w:t>
      </w:r>
      <w:bookmarkEnd w:id="88"/>
      <w:bookmarkEnd w:id="89"/>
    </w:p>
    <w:p w14:paraId="7A8E6153">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90" w:name="_Toc15396627"/>
      <w:bookmarkStart w:id="91" w:name="_Toc15882"/>
      <w:r>
        <w:rPr>
          <w:rFonts w:hint="eastAsia" w:ascii="Times New Roman" w:hAnsi="Times New Roman" w:eastAsia="仿宋_GB2312" w:cs="仿宋_GB2312"/>
          <w:color w:val="auto"/>
          <w:sz w:val="32"/>
          <w:szCs w:val="32"/>
          <w:highlight w:val="none"/>
        </w:rPr>
        <w:t>九、一般公共预算财政拨款项目支出决算表</w:t>
      </w:r>
      <w:bookmarkEnd w:id="90"/>
      <w:bookmarkEnd w:id="91"/>
    </w:p>
    <w:p w14:paraId="20C8C835">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92" w:name="_Toc15396628"/>
      <w:bookmarkStart w:id="93" w:name="_Toc20916"/>
      <w:r>
        <w:rPr>
          <w:rFonts w:hint="eastAsia" w:ascii="Times New Roman" w:hAnsi="Times New Roman" w:eastAsia="仿宋_GB2312" w:cs="仿宋_GB2312"/>
          <w:color w:val="auto"/>
          <w:sz w:val="32"/>
          <w:szCs w:val="32"/>
          <w:highlight w:val="none"/>
        </w:rPr>
        <w:t>十、</w:t>
      </w:r>
      <w:bookmarkEnd w:id="92"/>
      <w:r>
        <w:rPr>
          <w:rFonts w:hint="eastAsia" w:ascii="Times New Roman" w:hAnsi="Times New Roman" w:eastAsia="仿宋_GB2312" w:cs="仿宋_GB2312"/>
          <w:color w:val="auto"/>
          <w:sz w:val="32"/>
          <w:szCs w:val="32"/>
          <w:highlight w:val="none"/>
        </w:rPr>
        <w:t>政府性基金预算财政拨款收入支出决算表</w:t>
      </w:r>
      <w:bookmarkEnd w:id="93"/>
    </w:p>
    <w:p w14:paraId="5E5D0BFE">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94" w:name="_Toc15396629"/>
      <w:bookmarkStart w:id="95" w:name="_Toc12644"/>
      <w:r>
        <w:rPr>
          <w:rFonts w:hint="eastAsia" w:ascii="Times New Roman" w:hAnsi="Times New Roman" w:eastAsia="仿宋_GB2312" w:cs="仿宋_GB2312"/>
          <w:color w:val="auto"/>
          <w:sz w:val="32"/>
          <w:szCs w:val="32"/>
          <w:highlight w:val="none"/>
        </w:rPr>
        <w:t>十一、</w:t>
      </w:r>
      <w:bookmarkEnd w:id="94"/>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bookmarkEnd w:id="95"/>
    </w:p>
    <w:p w14:paraId="3BCB0831">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96" w:name="_Toc15396630"/>
      <w:bookmarkStart w:id="97" w:name="_Toc16574"/>
      <w:r>
        <w:rPr>
          <w:rFonts w:hint="eastAsia" w:ascii="Times New Roman" w:hAnsi="Times New Roman" w:eastAsia="仿宋_GB2312" w:cs="仿宋_GB2312"/>
          <w:color w:val="auto"/>
          <w:sz w:val="32"/>
          <w:szCs w:val="32"/>
          <w:highlight w:val="none"/>
        </w:rPr>
        <w:t>十二、</w:t>
      </w:r>
      <w:bookmarkEnd w:id="96"/>
      <w:r>
        <w:rPr>
          <w:rFonts w:hint="eastAsia" w:ascii="Times New Roman" w:hAnsi="Times New Roman" w:eastAsia="仿宋_GB2312" w:cs="仿宋_GB2312"/>
          <w:color w:val="auto"/>
          <w:sz w:val="32"/>
          <w:szCs w:val="32"/>
          <w:highlight w:val="none"/>
          <w:lang w:eastAsia="zh-CN"/>
        </w:rPr>
        <w:t>国有资本经营预算财政拨款支出决算表</w:t>
      </w:r>
      <w:bookmarkEnd w:id="97"/>
    </w:p>
    <w:p w14:paraId="26DDA614">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lang w:eastAsia="zh-CN"/>
        </w:rPr>
      </w:pPr>
      <w:bookmarkStart w:id="98" w:name="_Toc15396631"/>
      <w:bookmarkStart w:id="99" w:name="_Toc19492"/>
      <w:r>
        <w:rPr>
          <w:rFonts w:hint="eastAsia" w:ascii="Times New Roman" w:hAnsi="Times New Roman" w:eastAsia="仿宋_GB2312" w:cs="仿宋_GB2312"/>
          <w:color w:val="auto"/>
          <w:sz w:val="32"/>
          <w:szCs w:val="32"/>
          <w:highlight w:val="none"/>
        </w:rPr>
        <w:t>十三、</w:t>
      </w:r>
      <w:bookmarkEnd w:id="98"/>
      <w:r>
        <w:rPr>
          <w:rFonts w:hint="eastAsia" w:ascii="Times New Roman" w:hAnsi="Times New Roman" w:eastAsia="仿宋_GB2312" w:cs="仿宋_GB2312"/>
          <w:color w:val="auto"/>
          <w:sz w:val="32"/>
          <w:szCs w:val="32"/>
          <w:highlight w:val="none"/>
          <w:lang w:eastAsia="zh-CN"/>
        </w:rPr>
        <w:t>财政拨款“三公”经费支出决算表</w:t>
      </w:r>
      <w:bookmarkEnd w:id="99"/>
    </w:p>
    <w:p w14:paraId="0B2D2E20">
      <w:pPr>
        <w:rPr>
          <w:rFonts w:hint="eastAsia" w:ascii="Times New Roman" w:hAnsi="Times New Roman"/>
          <w:lang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E7BEEF98-E7C8-46BC-A981-B40D481013B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39A13987-726A-4B0C-AFA5-A4F4BE62FE4F}"/>
  </w:font>
  <w:font w:name="仿宋">
    <w:panose1 w:val="02010609060101010101"/>
    <w:charset w:val="86"/>
    <w:family w:val="modern"/>
    <w:pitch w:val="default"/>
    <w:sig w:usb0="800002BF" w:usb1="38CF7CFA" w:usb2="00000016" w:usb3="00000000" w:csb0="00040001" w:csb1="00000000"/>
    <w:embedRegular r:id="rId3" w:fontKey="{155BD758-9B88-4A23-A99B-352EF3708803}"/>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仿宋_GB2312">
    <w:panose1 w:val="02000000000000000000"/>
    <w:charset w:val="86"/>
    <w:family w:val="auto"/>
    <w:pitch w:val="default"/>
    <w:sig w:usb0="A00002BF" w:usb1="184F6CFA" w:usb2="00000012" w:usb3="00000000" w:csb0="00040001" w:csb1="00000000"/>
    <w:embedRegular r:id="rId4" w:fontKey="{18B00942-8AD0-494F-B7C2-692E8E441E25}"/>
  </w:font>
  <w:font w:name="方正小标宋简体">
    <w:panose1 w:val="03000509000000000000"/>
    <w:charset w:val="86"/>
    <w:family w:val="script"/>
    <w:pitch w:val="default"/>
    <w:sig w:usb0="00000001" w:usb1="080E0000" w:usb2="00000000" w:usb3="00000000" w:csb0="00040000" w:csb1="00000000"/>
    <w:embedRegular r:id="rId5" w:fontKey="{459792CE-9C52-4A64-828A-3053A61771C0}"/>
  </w:font>
  <w:font w:name="楷体_GB2312">
    <w:panose1 w:val="02010609030101010101"/>
    <w:charset w:val="86"/>
    <w:family w:val="auto"/>
    <w:pitch w:val="default"/>
    <w:sig w:usb0="00000001" w:usb1="080E0000" w:usb2="00000000" w:usb3="00000000" w:csb0="00040000" w:csb1="00000000"/>
    <w:embedRegular r:id="rId6" w:fontKey="{2E43BBB6-1C9E-464F-B70F-2EA21295D72B}"/>
  </w:font>
  <w:font w:name="方正楷体_GBK">
    <w:panose1 w:val="03000509000000000000"/>
    <w:charset w:val="86"/>
    <w:family w:val="auto"/>
    <w:pitch w:val="default"/>
    <w:sig w:usb0="00000001" w:usb1="080E0000" w:usb2="00000000" w:usb3="00000000" w:csb0="00040000" w:csb1="00000000"/>
    <w:embedRegular r:id="rId7" w:fontKey="{32589DE3-315C-4B8B-807D-53108FF5DC99}"/>
  </w:font>
  <w:font w:name="WPSEMBED1">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515129">
    <w:pPr>
      <w:pStyle w:val="10"/>
      <w:jc w:val="center"/>
    </w:pPr>
  </w:p>
  <w:p w14:paraId="703CB02B">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FF13D3">
    <w:pPr>
      <w:pStyle w:val="10"/>
      <w:jc w:val="center"/>
      <w:rPr>
        <w:rFonts w:hint="eastAsia" w:ascii="方正楷体_GBK" w:hAnsi="方正楷体_GBK" w:eastAsia="方正楷体_GBK" w:cs="方正楷体_GBK"/>
        <w:sz w:val="20"/>
        <w:szCs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B5FEC9">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7B5FEC9">
                    <w:pPr>
                      <w:pStyle w:val="10"/>
                    </w:pPr>
                    <w:r>
                      <w:fldChar w:fldCharType="begin"/>
                    </w:r>
                    <w:r>
                      <w:instrText xml:space="preserve"> PAGE  \* MERGEFORMAT </w:instrText>
                    </w:r>
                    <w:r>
                      <w:fldChar w:fldCharType="separate"/>
                    </w:r>
                    <w:r>
                      <w:t>1</w:t>
                    </w:r>
                    <w:r>
                      <w:fldChar w:fldCharType="end"/>
                    </w:r>
                  </w:p>
                </w:txbxContent>
              </v:textbox>
            </v:shape>
          </w:pict>
        </mc:Fallback>
      </mc:AlternateContent>
    </w:r>
  </w:p>
  <w:p w14:paraId="388555B5">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6BEB5F">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2317B1B"/>
    <w:rsid w:val="02FEBE30"/>
    <w:rsid w:val="03DD2277"/>
    <w:rsid w:val="061E35DE"/>
    <w:rsid w:val="066E0107"/>
    <w:rsid w:val="07245061"/>
    <w:rsid w:val="07996F6E"/>
    <w:rsid w:val="07DFD8BA"/>
    <w:rsid w:val="088564A0"/>
    <w:rsid w:val="08DB07E4"/>
    <w:rsid w:val="091361A6"/>
    <w:rsid w:val="09867E8F"/>
    <w:rsid w:val="0A2032A3"/>
    <w:rsid w:val="0B640F3B"/>
    <w:rsid w:val="0C566AD6"/>
    <w:rsid w:val="0C671BDD"/>
    <w:rsid w:val="0C6C4794"/>
    <w:rsid w:val="0CA8290A"/>
    <w:rsid w:val="0D35B1ED"/>
    <w:rsid w:val="0DE07E2B"/>
    <w:rsid w:val="0E697416"/>
    <w:rsid w:val="0F98263C"/>
    <w:rsid w:val="0FCE01DD"/>
    <w:rsid w:val="101860EC"/>
    <w:rsid w:val="10C055FF"/>
    <w:rsid w:val="11772AA4"/>
    <w:rsid w:val="118107EC"/>
    <w:rsid w:val="13C473BC"/>
    <w:rsid w:val="13D50BC4"/>
    <w:rsid w:val="14022904"/>
    <w:rsid w:val="143771ED"/>
    <w:rsid w:val="152F2A07"/>
    <w:rsid w:val="165E0673"/>
    <w:rsid w:val="16BB723D"/>
    <w:rsid w:val="17424826"/>
    <w:rsid w:val="186504BB"/>
    <w:rsid w:val="1938089F"/>
    <w:rsid w:val="19A445FC"/>
    <w:rsid w:val="1A7010E8"/>
    <w:rsid w:val="1B7D550C"/>
    <w:rsid w:val="1BE8440E"/>
    <w:rsid w:val="1D155CEE"/>
    <w:rsid w:val="1E740ACF"/>
    <w:rsid w:val="1F6F619E"/>
    <w:rsid w:val="1FF35744"/>
    <w:rsid w:val="1FF6BC77"/>
    <w:rsid w:val="21962A9E"/>
    <w:rsid w:val="21AE7C77"/>
    <w:rsid w:val="22BC3C41"/>
    <w:rsid w:val="23860B96"/>
    <w:rsid w:val="238C58D6"/>
    <w:rsid w:val="240371BF"/>
    <w:rsid w:val="25F660D7"/>
    <w:rsid w:val="260F557C"/>
    <w:rsid w:val="281408E2"/>
    <w:rsid w:val="28E868B0"/>
    <w:rsid w:val="29FD04D3"/>
    <w:rsid w:val="2BFF7BC6"/>
    <w:rsid w:val="2C8A61B5"/>
    <w:rsid w:val="2D2E01CF"/>
    <w:rsid w:val="2D597D7C"/>
    <w:rsid w:val="2DF04E50"/>
    <w:rsid w:val="2E9545B0"/>
    <w:rsid w:val="2F040D46"/>
    <w:rsid w:val="2FAE5751"/>
    <w:rsid w:val="2FB1A395"/>
    <w:rsid w:val="2FD9A7D8"/>
    <w:rsid w:val="309C7D32"/>
    <w:rsid w:val="319F7F4E"/>
    <w:rsid w:val="31E71DFA"/>
    <w:rsid w:val="321B2544"/>
    <w:rsid w:val="3304709D"/>
    <w:rsid w:val="330E334F"/>
    <w:rsid w:val="34281836"/>
    <w:rsid w:val="349D6851"/>
    <w:rsid w:val="35BA6CAF"/>
    <w:rsid w:val="364D14C1"/>
    <w:rsid w:val="36AA5135"/>
    <w:rsid w:val="36BE0DA7"/>
    <w:rsid w:val="376B6AA6"/>
    <w:rsid w:val="376D39B2"/>
    <w:rsid w:val="37E16F03"/>
    <w:rsid w:val="37F53A3B"/>
    <w:rsid w:val="389B6C89"/>
    <w:rsid w:val="38A54CF4"/>
    <w:rsid w:val="38D469F0"/>
    <w:rsid w:val="39627CCD"/>
    <w:rsid w:val="397BAF1F"/>
    <w:rsid w:val="3AB79AF3"/>
    <w:rsid w:val="3B7EF35A"/>
    <w:rsid w:val="3B9FDB6C"/>
    <w:rsid w:val="3BF5BC2F"/>
    <w:rsid w:val="3CEBA265"/>
    <w:rsid w:val="3D2C3800"/>
    <w:rsid w:val="3D98207C"/>
    <w:rsid w:val="3D9B0D99"/>
    <w:rsid w:val="3DAC5CA6"/>
    <w:rsid w:val="3DEE7CF3"/>
    <w:rsid w:val="3DF02244"/>
    <w:rsid w:val="3E78745D"/>
    <w:rsid w:val="3FF4CAE0"/>
    <w:rsid w:val="3FF7B227"/>
    <w:rsid w:val="40E54C45"/>
    <w:rsid w:val="424C5CAA"/>
    <w:rsid w:val="43A407DF"/>
    <w:rsid w:val="44515BEA"/>
    <w:rsid w:val="44E268DA"/>
    <w:rsid w:val="453F7E5B"/>
    <w:rsid w:val="47160F29"/>
    <w:rsid w:val="486A6C7A"/>
    <w:rsid w:val="49176D9B"/>
    <w:rsid w:val="49D00F6E"/>
    <w:rsid w:val="4A3537E6"/>
    <w:rsid w:val="4A627F82"/>
    <w:rsid w:val="4A760D5F"/>
    <w:rsid w:val="4B0E749A"/>
    <w:rsid w:val="4B4F25DA"/>
    <w:rsid w:val="4BDA0CFB"/>
    <w:rsid w:val="4BE068DB"/>
    <w:rsid w:val="4D3C0CCC"/>
    <w:rsid w:val="4D577224"/>
    <w:rsid w:val="4DBF1CEB"/>
    <w:rsid w:val="4EAB630A"/>
    <w:rsid w:val="4ECE2238"/>
    <w:rsid w:val="4F833267"/>
    <w:rsid w:val="4FE9BD67"/>
    <w:rsid w:val="4FFB052F"/>
    <w:rsid w:val="53083A92"/>
    <w:rsid w:val="537E6D0A"/>
    <w:rsid w:val="53AF27A2"/>
    <w:rsid w:val="53F74C96"/>
    <w:rsid w:val="56E47B74"/>
    <w:rsid w:val="57BD3DD4"/>
    <w:rsid w:val="5915652D"/>
    <w:rsid w:val="5ADB3EAD"/>
    <w:rsid w:val="5AF92295"/>
    <w:rsid w:val="5BDD79E6"/>
    <w:rsid w:val="5BF561CA"/>
    <w:rsid w:val="5BFF5DFC"/>
    <w:rsid w:val="5CD71FC4"/>
    <w:rsid w:val="5D1F11B5"/>
    <w:rsid w:val="5D447851"/>
    <w:rsid w:val="5DAE1B18"/>
    <w:rsid w:val="5DE7D9E5"/>
    <w:rsid w:val="5ECEC941"/>
    <w:rsid w:val="5F493CB7"/>
    <w:rsid w:val="5FBF9FF3"/>
    <w:rsid w:val="5FCD4E2C"/>
    <w:rsid w:val="5FD15F49"/>
    <w:rsid w:val="5FEF394A"/>
    <w:rsid w:val="5FF67715"/>
    <w:rsid w:val="62BF3928"/>
    <w:rsid w:val="63D35E18"/>
    <w:rsid w:val="647F5392"/>
    <w:rsid w:val="652E2FEC"/>
    <w:rsid w:val="664B1D71"/>
    <w:rsid w:val="670544F5"/>
    <w:rsid w:val="67AA3209"/>
    <w:rsid w:val="681C4F0D"/>
    <w:rsid w:val="69046D0F"/>
    <w:rsid w:val="698D0931"/>
    <w:rsid w:val="69AB1384"/>
    <w:rsid w:val="6A6F5138"/>
    <w:rsid w:val="6A993CED"/>
    <w:rsid w:val="6B053271"/>
    <w:rsid w:val="6BCE6674"/>
    <w:rsid w:val="6C4A05C8"/>
    <w:rsid w:val="6C8742B8"/>
    <w:rsid w:val="6C8A170F"/>
    <w:rsid w:val="6CB54609"/>
    <w:rsid w:val="6DBF5E93"/>
    <w:rsid w:val="6DFF077E"/>
    <w:rsid w:val="6E7E3605"/>
    <w:rsid w:val="6E7FDCC7"/>
    <w:rsid w:val="6ED6A62E"/>
    <w:rsid w:val="6EE00B15"/>
    <w:rsid w:val="6F544B20"/>
    <w:rsid w:val="6F6FB3EB"/>
    <w:rsid w:val="6F784160"/>
    <w:rsid w:val="6F8731EA"/>
    <w:rsid w:val="6FCE6052"/>
    <w:rsid w:val="6FD57C00"/>
    <w:rsid w:val="6FEFFFD8"/>
    <w:rsid w:val="6FF5CC65"/>
    <w:rsid w:val="6FFB47EC"/>
    <w:rsid w:val="6FFF034A"/>
    <w:rsid w:val="70496804"/>
    <w:rsid w:val="712A28F1"/>
    <w:rsid w:val="715C0E4B"/>
    <w:rsid w:val="72233669"/>
    <w:rsid w:val="72734D90"/>
    <w:rsid w:val="7332FE48"/>
    <w:rsid w:val="73AB61DA"/>
    <w:rsid w:val="73AD73D5"/>
    <w:rsid w:val="73B6EB34"/>
    <w:rsid w:val="73FA497D"/>
    <w:rsid w:val="744731E5"/>
    <w:rsid w:val="74527205"/>
    <w:rsid w:val="74AF784E"/>
    <w:rsid w:val="74BBD01D"/>
    <w:rsid w:val="74ED5379"/>
    <w:rsid w:val="74FC2395"/>
    <w:rsid w:val="75DEEEC2"/>
    <w:rsid w:val="76E3355F"/>
    <w:rsid w:val="76FF5125"/>
    <w:rsid w:val="776F6FFA"/>
    <w:rsid w:val="778769C8"/>
    <w:rsid w:val="77DC22F5"/>
    <w:rsid w:val="79086DAD"/>
    <w:rsid w:val="79974F09"/>
    <w:rsid w:val="79D7FD79"/>
    <w:rsid w:val="79EE5BA4"/>
    <w:rsid w:val="7A894339"/>
    <w:rsid w:val="7A9F4E9E"/>
    <w:rsid w:val="7AFF7572"/>
    <w:rsid w:val="7B6C7DFB"/>
    <w:rsid w:val="7BBFBED0"/>
    <w:rsid w:val="7BC3E394"/>
    <w:rsid w:val="7C1F3737"/>
    <w:rsid w:val="7CBE7A10"/>
    <w:rsid w:val="7CBFC87B"/>
    <w:rsid w:val="7CFE0F48"/>
    <w:rsid w:val="7D0050EB"/>
    <w:rsid w:val="7D7EC23E"/>
    <w:rsid w:val="7D916348"/>
    <w:rsid w:val="7E8ADEBF"/>
    <w:rsid w:val="7EEF11D3"/>
    <w:rsid w:val="7F0971A6"/>
    <w:rsid w:val="7F3F679B"/>
    <w:rsid w:val="7F4FC4EF"/>
    <w:rsid w:val="7F5E4D54"/>
    <w:rsid w:val="7F6E0135"/>
    <w:rsid w:val="7FA30C79"/>
    <w:rsid w:val="7FAF8ABF"/>
    <w:rsid w:val="7FB7269E"/>
    <w:rsid w:val="7FC96657"/>
    <w:rsid w:val="7FDA9588"/>
    <w:rsid w:val="7FDF220F"/>
    <w:rsid w:val="7FEDC5F7"/>
    <w:rsid w:val="7FEDD9DE"/>
    <w:rsid w:val="7FF5890D"/>
    <w:rsid w:val="7FF93490"/>
    <w:rsid w:val="99FF2014"/>
    <w:rsid w:val="A6DD0D7F"/>
    <w:rsid w:val="ADC6F725"/>
    <w:rsid w:val="B7CF06AB"/>
    <w:rsid w:val="B7CFA926"/>
    <w:rsid w:val="B7F8786B"/>
    <w:rsid w:val="BABB6AA1"/>
    <w:rsid w:val="BB2F4199"/>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FFA9E8"/>
    <w:rsid w:val="E5F4E9DC"/>
    <w:rsid w:val="E70FE695"/>
    <w:rsid w:val="ECFED1BC"/>
    <w:rsid w:val="ED1D69BB"/>
    <w:rsid w:val="ED7FD312"/>
    <w:rsid w:val="EF53993F"/>
    <w:rsid w:val="EF6FD633"/>
    <w:rsid w:val="EFBFB2F4"/>
    <w:rsid w:val="EFBFFA21"/>
    <w:rsid w:val="F2BEBCB8"/>
    <w:rsid w:val="F36FB518"/>
    <w:rsid w:val="F3DE1A04"/>
    <w:rsid w:val="F3F722E5"/>
    <w:rsid w:val="FA5F1E70"/>
    <w:rsid w:val="FA5FDB97"/>
    <w:rsid w:val="FB7F486A"/>
    <w:rsid w:val="FBFF5B2E"/>
    <w:rsid w:val="FD7FFE2B"/>
    <w:rsid w:val="FDEE196B"/>
    <w:rsid w:val="FDFE6575"/>
    <w:rsid w:val="FEDFDDC2"/>
    <w:rsid w:val="FEED32F6"/>
    <w:rsid w:val="FEF781DD"/>
    <w:rsid w:val="FF3F7E3F"/>
    <w:rsid w:val="FFBA12D7"/>
    <w:rsid w:val="FFDFFAEE"/>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5"/>
    <w:qFormat/>
    <w:uiPriority w:val="99"/>
    <w:pPr>
      <w:spacing w:beforeLines="30"/>
    </w:pPr>
    <w:rPr>
      <w:rFonts w:ascii="仿宋_GB2312" w:eastAsia="仿宋_GB2312"/>
      <w:kern w:val="0"/>
      <w:sz w:val="30"/>
    </w:rPr>
  </w:style>
  <w:style w:type="paragraph" w:styleId="6">
    <w:name w:val="Body Text Indent"/>
    <w:basedOn w:val="1"/>
    <w:next w:val="7"/>
    <w:qFormat/>
    <w:uiPriority w:val="0"/>
    <w:pPr>
      <w:spacing w:after="120"/>
      <w:ind w:leftChars="200"/>
    </w:pPr>
    <w:rPr>
      <w:rFonts w:ascii="仿宋_GB2312"/>
      <w:szCs w:val="32"/>
    </w:rPr>
  </w:style>
  <w:style w:type="paragraph" w:styleId="7">
    <w:name w:val="Body Text First Indent 2"/>
    <w:basedOn w:val="6"/>
    <w:next w:val="1"/>
    <w:unhideWhenUsed/>
    <w:qFormat/>
    <w:uiPriority w:val="99"/>
    <w:pPr>
      <w:ind w:firstLine="420" w:firstLineChars="200"/>
    </w:p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7"/>
    <w:semiHidden/>
    <w:qFormat/>
    <w:uiPriority w:val="0"/>
    <w:pPr>
      <w:snapToGrid w:val="0"/>
      <w:jc w:val="left"/>
    </w:pPr>
    <w:rPr>
      <w:sz w:val="18"/>
      <w:szCs w:val="1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1"/>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0"/>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2"/>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3"/>
    <w:qFormat/>
    <w:uiPriority w:val="9"/>
    <w:rPr>
      <w:rFonts w:ascii="Times New Roman" w:hAnsi="Times New Roman"/>
      <w:b/>
      <w:bCs/>
      <w:kern w:val="44"/>
      <w:sz w:val="44"/>
      <w:szCs w:val="44"/>
    </w:rPr>
  </w:style>
  <w:style w:type="character" w:customStyle="1" w:styleId="29">
    <w:name w:val="标题 2 Char"/>
    <w:basedOn w:val="16"/>
    <w:link w:val="4"/>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6"/>
    <w:link w:val="9"/>
    <w:semiHidden/>
    <w:qFormat/>
    <w:uiPriority w:val="99"/>
    <w:rPr>
      <w:rFonts w:ascii="Times New Roman" w:hAnsi="Times New Roman"/>
      <w:kern w:val="2"/>
      <w:sz w:val="18"/>
      <w:szCs w:val="18"/>
    </w:rPr>
  </w:style>
  <w:style w:type="character" w:customStyle="1" w:styleId="32">
    <w:name w:val="标题 3 Char"/>
    <w:basedOn w:val="16"/>
    <w:link w:val="5"/>
    <w:qFormat/>
    <w:uiPriority w:val="9"/>
    <w:rPr>
      <w:rFonts w:ascii="Times New Roman" w:hAnsi="Times New Roman"/>
      <w:b/>
      <w:bCs/>
      <w:kern w:val="2"/>
      <w:sz w:val="32"/>
      <w:szCs w:val="32"/>
    </w:rPr>
  </w:style>
  <w:style w:type="paragraph" w:customStyle="1" w:styleId="33">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eastAsia="宋体"/>
      <w:color w:val="000000"/>
      <w:kern w:val="0"/>
      <w:sz w:val="28"/>
      <w:szCs w:val="21"/>
      <w:lang w:val="zh-CN" w:eastAsia="zh-CN"/>
    </w:rPr>
  </w:style>
  <w:style w:type="character" w:customStyle="1" w:styleId="35">
    <w:name w:val="font71"/>
    <w:basedOn w:val="16"/>
    <w:qFormat/>
    <w:uiPriority w:val="0"/>
    <w:rPr>
      <w:rFonts w:ascii="方正仿宋_GB2312" w:hAnsi="方正仿宋_GB2312" w:eastAsia="方正仿宋_GB2312" w:cs="方正仿宋_GB2312"/>
      <w:color w:val="000000"/>
      <w:sz w:val="18"/>
      <w:szCs w:val="18"/>
      <w:u w:val="none"/>
    </w:rPr>
  </w:style>
  <w:style w:type="character" w:customStyle="1" w:styleId="36">
    <w:name w:val="font31"/>
    <w:basedOn w:val="16"/>
    <w:qFormat/>
    <w:uiPriority w:val="0"/>
    <w:rPr>
      <w:rFonts w:hint="default" w:ascii="Times New Roman" w:hAnsi="Times New Roman" w:cs="Times New Roman"/>
      <w:color w:val="000000"/>
      <w:sz w:val="18"/>
      <w:szCs w:val="18"/>
      <w:u w:val="none"/>
    </w:rPr>
  </w:style>
  <w:style w:type="character" w:customStyle="1" w:styleId="37">
    <w:name w:val="font41"/>
    <w:basedOn w:val="16"/>
    <w:qFormat/>
    <w:uiPriority w:val="0"/>
    <w:rPr>
      <w:rFonts w:hint="default" w:ascii="Times New Roman" w:hAnsi="Times New Roman" w:cs="Times New Roman"/>
      <w:i/>
      <w:iCs/>
      <w:color w:val="000000"/>
      <w:sz w:val="18"/>
      <w:szCs w:val="18"/>
      <w:u w:val="none"/>
    </w:rPr>
  </w:style>
  <w:style w:type="character" w:customStyle="1" w:styleId="38">
    <w:name w:val="font81"/>
    <w:basedOn w:val="16"/>
    <w:qFormat/>
    <w:uiPriority w:val="0"/>
    <w:rPr>
      <w:rFonts w:hint="eastAsia" w:ascii="方正仿宋_GB2312" w:hAnsi="方正仿宋_GB2312" w:eastAsia="方正仿宋_GB2312" w:cs="方正仿宋_GB2312"/>
      <w:i/>
      <w:iCs/>
      <w:color w:val="000000"/>
      <w:sz w:val="18"/>
      <w:szCs w:val="18"/>
      <w:u w:val="none"/>
    </w:rPr>
  </w:style>
  <w:style w:type="character" w:customStyle="1" w:styleId="39">
    <w:name w:val="font91"/>
    <w:basedOn w:val="16"/>
    <w:qFormat/>
    <w:uiPriority w:val="0"/>
    <w:rPr>
      <w:rFonts w:hint="eastAsia" w:ascii="方正仿宋_GB2312" w:hAnsi="方正仿宋_GB2312" w:eastAsia="方正仿宋_GB2312" w:cs="方正仿宋_GB2312"/>
      <w:color w:val="000000"/>
      <w:sz w:val="24"/>
      <w:szCs w:val="24"/>
      <w:u w:val="none"/>
    </w:rPr>
  </w:style>
  <w:style w:type="character" w:customStyle="1" w:styleId="40">
    <w:name w:val="font61"/>
    <w:basedOn w:val="16"/>
    <w:qFormat/>
    <w:uiPriority w:val="0"/>
    <w:rPr>
      <w:rFonts w:hint="default" w:ascii="Times New Roman" w:hAnsi="Times New Roman" w:cs="Times New Roman"/>
      <w:color w:val="000000"/>
      <w:sz w:val="24"/>
      <w:szCs w:val="24"/>
      <w:u w:val="none"/>
    </w:rPr>
  </w:style>
  <w:style w:type="character" w:customStyle="1" w:styleId="41">
    <w:name w:val="font101"/>
    <w:basedOn w:val="16"/>
    <w:qFormat/>
    <w:uiPriority w:val="0"/>
    <w:rPr>
      <w:rFonts w:hint="eastAsia" w:ascii="方正仿宋_GB2312" w:hAnsi="方正仿宋_GB2312" w:eastAsia="方正仿宋_GB2312" w:cs="方正仿宋_GB2312"/>
      <w:i/>
      <w:iCs/>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26472;&#33521;\Desktop\&#20061;&#19977;&#23398;&#31038;\4.2025&#24180;&#20915;&#31639;\&#30011;&#22270;&#33609;&#31295;.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26472;&#33521;\Desktop\&#20061;&#19977;&#23398;&#31038;\4.2025&#24180;&#20915;&#31639;\&#30011;&#22270;&#33609;&#31295;.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26472;&#33521;\Desktop\&#20061;&#19977;&#23398;&#31038;\4.2025&#24180;&#20915;&#31639;\&#30011;&#22270;&#33609;&#31295;.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26472;&#33521;\Desktop\&#20061;&#19977;&#23398;&#31038;\4.2025&#24180;&#20915;&#31639;\&#30011;&#22270;&#33609;&#31295;.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26472;&#33521;\Desktop\&#20061;&#19977;&#23398;&#31038;\4.2025&#24180;&#20915;&#31639;\&#30011;&#22270;&#33609;&#31295;.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26472;&#33521;\Desktop\&#20061;&#19977;&#23398;&#31038;\4.2025&#24180;&#20915;&#31639;\&#30011;&#22270;&#33609;&#31295;.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26472;&#33521;\Desktop\&#20061;&#19977;&#23398;&#31038;\4.2025&#24180;&#20915;&#31639;\&#30011;&#22270;&#33609;&#3129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sz="1200"/>
              <a:t>图</a:t>
            </a:r>
            <a:r>
              <a:rPr lang="en-US" altLang="zh-CN" sz="1200"/>
              <a:t>1</a:t>
            </a:r>
            <a:r>
              <a:rPr sz="1200"/>
              <a:t>：收入、支出决算总计变动情况图（单位：万元）</a:t>
            </a:r>
            <a:endParaRPr sz="1200"/>
          </a:p>
        </c:rich>
      </c:tx>
      <c:layout/>
      <c:overlay val="0"/>
      <c:spPr>
        <a:noFill/>
        <a:ln>
          <a:noFill/>
        </a:ln>
        <a:effectLst/>
      </c:spPr>
    </c:title>
    <c:autoTitleDeleted val="0"/>
    <c:plotArea>
      <c:layout>
        <c:manualLayout>
          <c:layoutTarget val="inner"/>
          <c:xMode val="edge"/>
          <c:yMode val="edge"/>
          <c:x val="0.0458684210526316"/>
          <c:y val="0.22337962962963"/>
          <c:w val="0.900184210526316"/>
          <c:h val="0.606111111111111"/>
        </c:manualLayout>
      </c:layout>
      <c:barChart>
        <c:barDir val="col"/>
        <c:grouping val="clustered"/>
        <c:varyColors val="0"/>
        <c:ser>
          <c:idx val="0"/>
          <c:order val="0"/>
          <c:tx>
            <c:strRef>
              <c:f>[画图草稿.xlsx]Sheet1!$A$2</c:f>
              <c:strCache>
                <c:ptCount val="1"/>
                <c:pt idx="0">
                  <c:v>2024年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[画图草稿.xlsx]Sheet1!$B$1:$C$1</c:f>
              <c:strCache>
                <c:ptCount val="2"/>
                <c:pt idx="0">
                  <c:v>收入</c:v>
                </c:pt>
                <c:pt idx="1">
                  <c:v>支出</c:v>
                </c:pt>
              </c:strCache>
            </c:strRef>
          </c:cat>
          <c:val>
            <c:numRef>
              <c:f>[画图草稿.xlsx]Sheet1!$B$2:$C$2</c:f>
              <c:numCache>
                <c:formatCode>_ * #,##0.00_ ;_ * \-#,##0.00_ ;_ * "-"??_ ;_ @_ </c:formatCode>
                <c:ptCount val="2"/>
                <c:pt idx="0">
                  <c:v>1476.3</c:v>
                </c:pt>
                <c:pt idx="1">
                  <c:v>1476.3</c:v>
                </c:pt>
              </c:numCache>
            </c:numRef>
          </c:val>
        </c:ser>
        <c:ser>
          <c:idx val="1"/>
          <c:order val="1"/>
          <c:tx>
            <c:strRef>
              <c:f>[画图草稿.xlsx]Sheet1!$A$3</c:f>
              <c:strCache>
                <c:ptCount val="1"/>
                <c:pt idx="0">
                  <c:v>2025年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[画图草稿.xlsx]Sheet1!$B$1:$C$1</c:f>
              <c:strCache>
                <c:ptCount val="2"/>
                <c:pt idx="0">
                  <c:v>收入</c:v>
                </c:pt>
                <c:pt idx="1">
                  <c:v>支出</c:v>
                </c:pt>
              </c:strCache>
            </c:strRef>
          </c:cat>
          <c:val>
            <c:numRef>
              <c:f>[画图草稿.xlsx]Sheet1!$B$3:$C$3</c:f>
              <c:numCache>
                <c:formatCode>_ * #,##0.00_ ;_ * \-#,##0.00_ ;_ * "-"??_ ;_ @_ </c:formatCode>
                <c:ptCount val="2"/>
                <c:pt idx="0">
                  <c:v>1397.38</c:v>
                </c:pt>
                <c:pt idx="1">
                  <c:v>1397.38</c:v>
                </c:pt>
              </c:numCache>
            </c:numRef>
          </c:val>
        </c:ser>
        <c:dLbls>
          <c:showLegendKey val="0"/>
          <c:showVal val="1"/>
          <c:showCatName val="0"/>
          <c:showSerName val="0"/>
          <c:showPercent val="0"/>
          <c:showBubbleSize val="0"/>
        </c:dLbls>
        <c:gapWidth val="246"/>
        <c:overlap val="-28"/>
        <c:axId val="226339429"/>
        <c:axId val="916121765"/>
      </c:barChart>
      <c:catAx>
        <c:axId val="22633942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6121765"/>
        <c:crosses val="autoZero"/>
        <c:auto val="1"/>
        <c:lblAlgn val="ctr"/>
        <c:lblOffset val="100"/>
        <c:noMultiLvlLbl val="0"/>
      </c:catAx>
      <c:valAx>
        <c:axId val="916121765"/>
        <c:scaling>
          <c:orientation val="minMax"/>
        </c:scaling>
        <c:delete val="0"/>
        <c:axPos val="l"/>
        <c:majorGridlines>
          <c:spPr>
            <a:ln w="9525" cap="flat" cmpd="sng" algn="ctr">
              <a:solidFill>
                <a:schemeClr val="lt1">
                  <a:lumMod val="90200"/>
                </a:schemeClr>
              </a:solidFill>
              <a:round/>
            </a:ln>
            <a:effectLst/>
          </c:spPr>
        </c:majorGridlines>
        <c:numFmt formatCode="_ * #,##0.00_ ;_ * \-#,##0.00_ ;_ * &quot;-&quot;??_ ;_ @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633942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8cfcb29-8b6c-49f0-a5a1-169a59dad07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a:latin typeface="仿宋_GB2312" panose="02010609030101010101" pitchFamily="3" charset="-122"/>
                <a:ea typeface="仿宋_GB2312" panose="02010609030101010101" pitchFamily="3" charset="-122"/>
                <a:cs typeface="仿宋_GB2312" panose="02010609030101010101" pitchFamily="3" charset="-122"/>
              </a:rPr>
              <a:t>图</a:t>
            </a:r>
            <a:r>
              <a:rPr>
                <a:latin typeface="Times New Roman" panose="02020603050405020304" charset="0"/>
                <a:ea typeface="仿宋_GB2312" panose="02010609030101010101" pitchFamily="3" charset="-122"/>
                <a:cs typeface="Times New Roman" panose="02020603050405020304" charset="0"/>
              </a:rPr>
              <a:t>2</a:t>
            </a:r>
            <a:r>
              <a:rPr>
                <a:latin typeface="仿宋_GB2312" panose="02010609030101010101" pitchFamily="3" charset="-122"/>
                <a:ea typeface="仿宋_GB2312" panose="02010609030101010101" pitchFamily="3" charset="-122"/>
                <a:cs typeface="仿宋_GB2312" panose="02010609030101010101" pitchFamily="3" charset="-122"/>
              </a:rPr>
              <a:t>：收入决算结构图</a:t>
            </a:r>
            <a:endParaRPr>
              <a:latin typeface="仿宋_GB2312" panose="02010609030101010101" pitchFamily="3" charset="-122"/>
              <a:ea typeface="仿宋_GB2312" panose="02010609030101010101" pitchFamily="3" charset="-122"/>
              <a:cs typeface="仿宋_GB2312" panose="02010609030101010101" pitchFamily="3" charset="-122"/>
            </a:endParaRPr>
          </a:p>
        </c:rich>
      </c:tx>
      <c:layout/>
      <c:overlay val="0"/>
      <c:spPr>
        <a:noFill/>
        <a:ln>
          <a:noFill/>
        </a:ln>
        <a:effectLst/>
      </c:spPr>
    </c:title>
    <c:autoTitleDeleted val="0"/>
    <c:plotArea>
      <c:layout/>
      <c:pieChart>
        <c:varyColors val="1"/>
        <c:ser>
          <c:idx val="0"/>
          <c:order val="0"/>
          <c:tx>
            <c:strRef>
              <c:f>[画图草稿.xlsx]Sheet1!$A$7</c:f>
              <c:strCache>
                <c:ptCount val="1"/>
                <c:pt idx="0">
                  <c:v>2025年</c:v>
                </c:pt>
              </c:strCache>
            </c:strRef>
          </c:tx>
          <c:spPr/>
          <c:explosion val="0"/>
          <c:dPt>
            <c:idx val="0"/>
            <c:bubble3D val="0"/>
            <c:spPr>
              <a:solidFill>
                <a:schemeClr val="accent1"/>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[画图草稿.xlsx]Sheet1!$B$6</c:f>
              <c:strCache>
                <c:ptCount val="1"/>
                <c:pt idx="0">
                  <c:v>一般公共预算财政拨款收入</c:v>
                </c:pt>
              </c:strCache>
            </c:strRef>
          </c:cat>
          <c:val>
            <c:numRef>
              <c:f>[画图草稿.xlsx]Sheet1!$B$7</c:f>
              <c:numCache>
                <c:formatCode>0%</c:formatCode>
                <c:ptCount val="1"/>
                <c:pt idx="0">
                  <c:v>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1cbd817-11cb-4a4c-8bd4-b371575cff1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图</a:t>
            </a:r>
            <a:r>
              <a:rPr lang="en-US" altLang="zh-CN"/>
              <a:t>3.支出决算结构图</a:t>
            </a:r>
            <a:r>
              <a:rPr altLang="en-US" sz="1200"/>
              <a:t>（单位：万元）</a:t>
            </a:r>
            <a:endParaRPr altLang="en-US" sz="1200"/>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[画图草稿.xlsx]Sheet1!$A$19:$A$20</c:f>
              <c:strCache>
                <c:ptCount val="2"/>
                <c:pt idx="0">
                  <c:v>基本支出</c:v>
                </c:pt>
                <c:pt idx="1">
                  <c:v>项目支出</c:v>
                </c:pt>
              </c:strCache>
            </c:strRef>
          </c:cat>
          <c:val>
            <c:numRef>
              <c:f>[画图草稿.xlsx]Sheet1!$B$19:$B$20</c:f>
              <c:numCache>
                <c:formatCode>_ * #,##0.00_ ;_ * \-#,##0.00_ ;_ * "-"??_ ;_ @_ </c:formatCode>
                <c:ptCount val="2"/>
                <c:pt idx="0">
                  <c:v>1176.74</c:v>
                </c:pt>
                <c:pt idx="1">
                  <c:v>220.64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eee90865-3c9b-4d07-9f7a-e835b85a61d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sz="1200"/>
              <a:t>图</a:t>
            </a:r>
            <a:r>
              <a:rPr lang="en-US" altLang="zh-CN" sz="1200"/>
              <a:t>4</a:t>
            </a:r>
            <a:r>
              <a:rPr sz="1200"/>
              <a:t>：财政拨款收、支决算总计变动情况（单位：万元）</a:t>
            </a:r>
            <a:endParaRPr sz="1200"/>
          </a:p>
        </c:rich>
      </c:tx>
      <c:layout/>
      <c:overlay val="0"/>
      <c:spPr>
        <a:noFill/>
        <a:ln>
          <a:noFill/>
        </a:ln>
        <a:effectLst/>
      </c:spPr>
    </c:title>
    <c:autoTitleDeleted val="0"/>
    <c:plotArea>
      <c:layout>
        <c:manualLayout>
          <c:layoutTarget val="inner"/>
          <c:xMode val="edge"/>
          <c:yMode val="edge"/>
          <c:x val="0.0458684210526316"/>
          <c:y val="0.22337962962963"/>
          <c:w val="0.900184210526316"/>
          <c:h val="0.606111111111111"/>
        </c:manualLayout>
      </c:layout>
      <c:barChart>
        <c:barDir val="col"/>
        <c:grouping val="clustered"/>
        <c:varyColors val="0"/>
        <c:ser>
          <c:idx val="0"/>
          <c:order val="0"/>
          <c:tx>
            <c:strRef>
              <c:f>[画图草稿.xlsx]Sheet1!$A$2</c:f>
              <c:strCache>
                <c:ptCount val="1"/>
                <c:pt idx="0">
                  <c:v>2024年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[画图草稿.xlsx]Sheet1!$B$1:$C$1</c:f>
              <c:strCache>
                <c:ptCount val="2"/>
                <c:pt idx="0">
                  <c:v>财政拨款收入</c:v>
                </c:pt>
                <c:pt idx="1">
                  <c:v>财政拨款支出</c:v>
                </c:pt>
              </c:strCache>
            </c:strRef>
          </c:cat>
          <c:val>
            <c:numRef>
              <c:f>[画图草稿.xlsx]Sheet1!$B$2:$C$2</c:f>
              <c:numCache>
                <c:formatCode>_ * #,##0.00_ ;_ * \-#,##0.00_ ;_ * "-"??_ ;_ @_ </c:formatCode>
                <c:ptCount val="2"/>
                <c:pt idx="0">
                  <c:v>1476.3</c:v>
                </c:pt>
                <c:pt idx="1">
                  <c:v>1476.3</c:v>
                </c:pt>
              </c:numCache>
            </c:numRef>
          </c:val>
        </c:ser>
        <c:ser>
          <c:idx val="1"/>
          <c:order val="1"/>
          <c:tx>
            <c:strRef>
              <c:f>[画图草稿.xlsx]Sheet1!$A$3</c:f>
              <c:strCache>
                <c:ptCount val="1"/>
                <c:pt idx="0">
                  <c:v>2025年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[画图草稿.xlsx]Sheet1!$B$1:$C$1</c:f>
              <c:strCache>
                <c:ptCount val="2"/>
                <c:pt idx="0">
                  <c:v>财政拨款收入</c:v>
                </c:pt>
                <c:pt idx="1">
                  <c:v>财政拨款支出</c:v>
                </c:pt>
              </c:strCache>
            </c:strRef>
          </c:cat>
          <c:val>
            <c:numRef>
              <c:f>[画图草稿.xlsx]Sheet1!$B$3:$C$3</c:f>
              <c:numCache>
                <c:formatCode>_ * #,##0.00_ ;_ * \-#,##0.00_ ;_ * "-"??_ ;_ @_ </c:formatCode>
                <c:ptCount val="2"/>
                <c:pt idx="0">
                  <c:v>1397.38</c:v>
                </c:pt>
                <c:pt idx="1">
                  <c:v>1397.38</c:v>
                </c:pt>
              </c:numCache>
            </c:numRef>
          </c:val>
        </c:ser>
        <c:dLbls>
          <c:showLegendKey val="0"/>
          <c:showVal val="1"/>
          <c:showCatName val="0"/>
          <c:showSerName val="0"/>
          <c:showPercent val="0"/>
          <c:showBubbleSize val="0"/>
        </c:dLbls>
        <c:gapWidth val="246"/>
        <c:overlap val="-28"/>
        <c:axId val="226339429"/>
        <c:axId val="916121765"/>
      </c:barChart>
      <c:catAx>
        <c:axId val="22633942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6121765"/>
        <c:crosses val="autoZero"/>
        <c:auto val="1"/>
        <c:lblAlgn val="ctr"/>
        <c:lblOffset val="100"/>
        <c:noMultiLvlLbl val="0"/>
      </c:catAx>
      <c:valAx>
        <c:axId val="916121765"/>
        <c:scaling>
          <c:orientation val="minMax"/>
        </c:scaling>
        <c:delete val="0"/>
        <c:axPos val="l"/>
        <c:majorGridlines>
          <c:spPr>
            <a:ln w="9525" cap="flat" cmpd="sng" algn="ctr">
              <a:solidFill>
                <a:schemeClr val="lt1">
                  <a:lumMod val="90200"/>
                </a:schemeClr>
              </a:solidFill>
              <a:round/>
            </a:ln>
            <a:effectLst/>
          </c:spPr>
        </c:majorGridlines>
        <c:numFmt formatCode="_ * #,##0.00_ ;_ * \-#,##0.00_ ;_ * &quot;-&quot;??_ ;_ @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633942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8cfcb29-8b6c-49f0-a5a1-169a59dad07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sz="1200">
                <a:latin typeface="仿宋_GB2312" panose="02010609030101010101" pitchFamily="3" charset="-122"/>
                <a:ea typeface="仿宋_GB2312" panose="02010609030101010101" pitchFamily="3" charset="-122"/>
                <a:cs typeface="仿宋_GB2312" panose="02010609030101010101" pitchFamily="3" charset="-122"/>
              </a:rPr>
              <a:t>图</a:t>
            </a:r>
            <a:r>
              <a:rPr sz="1200">
                <a:latin typeface="Times New Roman" panose="02020603050405020304" charset="0"/>
                <a:ea typeface="仿宋_GB2312" panose="02010609030101010101" pitchFamily="3" charset="-122"/>
                <a:cs typeface="Times New Roman" panose="02020603050405020304" charset="0"/>
              </a:rPr>
              <a:t>5</a:t>
            </a:r>
            <a:r>
              <a:rPr sz="1200">
                <a:latin typeface="仿宋_GB2312" panose="02010609030101010101" pitchFamily="3" charset="-122"/>
                <a:ea typeface="仿宋_GB2312" panose="02010609030101010101" pitchFamily="3" charset="-122"/>
                <a:cs typeface="仿宋_GB2312" panose="02010609030101010101" pitchFamily="3" charset="-122"/>
              </a:rPr>
              <a:t>：一般公共预算财政拨款支出决算变动情况</a:t>
            </a:r>
            <a:endParaRPr sz="1200">
              <a:latin typeface="仿宋_GB2312" panose="02010609030101010101" pitchFamily="3" charset="-122"/>
              <a:ea typeface="仿宋_GB2312" panose="02010609030101010101" pitchFamily="3" charset="-122"/>
              <a:cs typeface="仿宋_GB2312" panose="02010609030101010101" pitchFamily="3" charset="-122"/>
            </a:endParaRPr>
          </a:p>
          <a:p>
            <a:pPr defTabSz="914400">
              <a:defRPr lang="zh-CN" sz="1400" b="1" i="0" u="none" strike="noStrike" kern="1200" baseline="0">
                <a:solidFill>
                  <a:schemeClr val="tx1">
                    <a:lumMod val="75000"/>
                    <a:lumOff val="25000"/>
                  </a:schemeClr>
                </a:solidFill>
                <a:latin typeface="+mn-lt"/>
                <a:ea typeface="+mn-ea"/>
                <a:cs typeface="+mn-cs"/>
              </a:defRPr>
            </a:pPr>
            <a:r>
              <a:rPr sz="1200">
                <a:latin typeface="仿宋_GB2312" panose="02010609030101010101" pitchFamily="3" charset="-122"/>
                <a:ea typeface="仿宋_GB2312" panose="02010609030101010101" pitchFamily="3" charset="-122"/>
                <a:cs typeface="仿宋_GB2312" panose="02010609030101010101" pitchFamily="3" charset="-122"/>
              </a:rPr>
              <a:t>（单位：万元）</a:t>
            </a:r>
            <a:endParaRPr sz="1200">
              <a:latin typeface="仿宋_GB2312" panose="02010609030101010101" pitchFamily="3" charset="-122"/>
              <a:ea typeface="仿宋_GB2312" panose="02010609030101010101" pitchFamily="3" charset="-122"/>
              <a:cs typeface="仿宋_GB2312" panose="02010609030101010101" pitchFamily="3" charset="-122"/>
            </a:endParaRPr>
          </a:p>
        </c:rich>
      </c:tx>
      <c:layout/>
      <c:overlay val="0"/>
      <c:spPr>
        <a:noFill/>
        <a:ln>
          <a:noFill/>
        </a:ln>
        <a:effectLst/>
      </c:spPr>
    </c:title>
    <c:autoTitleDeleted val="0"/>
    <c:plotArea>
      <c:layout>
        <c:manualLayout>
          <c:layoutTarget val="inner"/>
          <c:xMode val="edge"/>
          <c:yMode val="edge"/>
          <c:x val="0.0932368421052632"/>
          <c:y val="0.173406593406593"/>
          <c:w val="0.900184210526316"/>
          <c:h val="0.606805555555556"/>
        </c:manualLayout>
      </c:layout>
      <c:barChart>
        <c:barDir val="col"/>
        <c:grouping val="clustered"/>
        <c:varyColors val="0"/>
        <c:ser>
          <c:idx val="0"/>
          <c:order val="0"/>
          <c:tx>
            <c:strRef>
              <c:f>[画图草稿.xlsx]Sheet1!$A$27</c:f>
              <c:strCache>
                <c:ptCount val="1"/>
                <c:pt idx="0">
                  <c:v>一般公共预算财政拨款支</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[画图草稿.xlsx]Sheet1!$B$26:$C$26</c:f>
              <c:strCache>
                <c:ptCount val="2"/>
                <c:pt idx="0">
                  <c:v>2025年</c:v>
                </c:pt>
                <c:pt idx="1">
                  <c:v>2024年</c:v>
                </c:pt>
              </c:strCache>
            </c:strRef>
          </c:cat>
          <c:val>
            <c:numRef>
              <c:f>[画图草稿.xlsx]Sheet1!$B$27:$C$27</c:f>
              <c:numCache>
                <c:formatCode>_ * #,##0.00_ ;_ * \-#,##0.00_ ;_ * "-"??_ ;_ @_ </c:formatCode>
                <c:ptCount val="2"/>
                <c:pt idx="0">
                  <c:v>1397.38</c:v>
                </c:pt>
                <c:pt idx="1">
                  <c:v>1476.3</c:v>
                </c:pt>
              </c:numCache>
            </c:numRef>
          </c:val>
        </c:ser>
        <c:dLbls>
          <c:showLegendKey val="0"/>
          <c:showVal val="1"/>
          <c:showCatName val="0"/>
          <c:showSerName val="0"/>
          <c:showPercent val="0"/>
          <c:showBubbleSize val="0"/>
        </c:dLbls>
        <c:gapWidth val="246"/>
        <c:overlap val="-28"/>
        <c:axId val="33128234"/>
        <c:axId val="951980753"/>
      </c:barChart>
      <c:catAx>
        <c:axId val="3312823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1980753"/>
        <c:crosses val="autoZero"/>
        <c:auto val="1"/>
        <c:lblAlgn val="ctr"/>
        <c:lblOffset val="100"/>
        <c:noMultiLvlLbl val="0"/>
      </c:catAx>
      <c:valAx>
        <c:axId val="951980753"/>
        <c:scaling>
          <c:orientation val="minMax"/>
        </c:scaling>
        <c:delete val="0"/>
        <c:axPos val="l"/>
        <c:majorGridlines>
          <c:spPr>
            <a:ln w="9525" cap="flat" cmpd="sng" algn="ctr">
              <a:solidFill>
                <a:schemeClr val="lt1">
                  <a:lumMod val="90200"/>
                </a:schemeClr>
              </a:solidFill>
              <a:round/>
            </a:ln>
            <a:effectLst/>
          </c:spPr>
        </c:majorGridlines>
        <c:numFmt formatCode="_ * #,##0.00_ ;_ * \-#,##0.00_ ;_ * &quot;-&quot;??_ ;_ @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312823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c17832f-c4dd-45d6-be86-4484a35d855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a:latin typeface="仿宋_GB2312" panose="02010609030101010101" pitchFamily="3" charset="-122"/>
                <a:ea typeface="仿宋_GB2312" panose="02010609030101010101" pitchFamily="3" charset="-122"/>
                <a:cs typeface="仿宋_GB2312" panose="02010609030101010101" pitchFamily="3" charset="-122"/>
              </a:rPr>
              <a:t>图</a:t>
            </a:r>
            <a:r>
              <a:rPr>
                <a:latin typeface="Times New Roman" panose="02020603050405020304" charset="0"/>
                <a:ea typeface="仿宋_GB2312" panose="02010609030101010101" pitchFamily="3" charset="-122"/>
                <a:cs typeface="Times New Roman" panose="02020603050405020304" charset="0"/>
              </a:rPr>
              <a:t>6</a:t>
            </a:r>
            <a:r>
              <a:rPr>
                <a:latin typeface="仿宋_GB2312" panose="02010609030101010101" pitchFamily="3" charset="-122"/>
                <a:ea typeface="仿宋_GB2312" panose="02010609030101010101" pitchFamily="3" charset="-122"/>
                <a:cs typeface="仿宋_GB2312" panose="02010609030101010101" pitchFamily="3" charset="-122"/>
              </a:rPr>
              <a:t>：一般公共预算财政拨款支出决算结构</a:t>
            </a:r>
            <a:endParaRPr>
              <a:latin typeface="仿宋_GB2312" panose="02010609030101010101" pitchFamily="3" charset="-122"/>
              <a:ea typeface="仿宋_GB2312" panose="02010609030101010101" pitchFamily="3" charset="-122"/>
              <a:cs typeface="仿宋_GB2312" panose="02010609030101010101" pitchFamily="3" charset="-122"/>
            </a:endParaRP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[画图草稿.xlsx]Sheet1!$A$30:$A$33</c:f>
              <c:strCache>
                <c:ptCount val="4"/>
                <c:pt idx="0">
                  <c:v>一般公共服务支出</c:v>
                </c:pt>
                <c:pt idx="1">
                  <c:v>社会保障和就业支出</c:v>
                </c:pt>
                <c:pt idx="2">
                  <c:v>卫生健康支出</c:v>
                </c:pt>
                <c:pt idx="3">
                  <c:v>住房保障支出</c:v>
                </c:pt>
              </c:strCache>
            </c:strRef>
          </c:cat>
          <c:val>
            <c:numRef>
              <c:f>[画图草稿.xlsx]Sheet1!$B$30:$B$34</c:f>
              <c:numCache>
                <c:formatCode>0.00%</c:formatCode>
                <c:ptCount val="5"/>
                <c:pt idx="0">
                  <c:v>0.814</c:v>
                </c:pt>
                <c:pt idx="1">
                  <c:v>0.097</c:v>
                </c:pt>
                <c:pt idx="2">
                  <c:v>0.042</c:v>
                </c:pt>
                <c:pt idx="3">
                  <c:v>0.047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a3c303e-da5e-4d21-b62e-93e29a45118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a:latin typeface="仿宋_GB2312" panose="02010609030101010101" pitchFamily="3" charset="-122"/>
                <a:ea typeface="仿宋_GB2312" panose="02010609030101010101" pitchFamily="3" charset="-122"/>
                <a:cs typeface="仿宋_GB2312" panose="02010609030101010101" pitchFamily="3" charset="-122"/>
              </a:rPr>
              <a:t>图</a:t>
            </a:r>
            <a:r>
              <a:rPr>
                <a:latin typeface="Times New Roman" panose="02020603050405020304" charset="0"/>
                <a:ea typeface="仿宋_GB2312" panose="02010609030101010101" pitchFamily="3" charset="-122"/>
                <a:cs typeface="Times New Roman" panose="02020603050405020304" charset="0"/>
              </a:rPr>
              <a:t>7</a:t>
            </a:r>
            <a:r>
              <a:rPr>
                <a:latin typeface="仿宋_GB2312" panose="02010609030101010101" pitchFamily="3" charset="-122"/>
                <a:ea typeface="仿宋_GB2312" panose="02010609030101010101" pitchFamily="3" charset="-122"/>
                <a:cs typeface="仿宋_GB2312" panose="02010609030101010101" pitchFamily="3" charset="-122"/>
              </a:rPr>
              <a:t>：财政拨款“三公”经费支出结构</a:t>
            </a:r>
            <a:endParaRPr>
              <a:latin typeface="仿宋_GB2312" panose="02010609030101010101" pitchFamily="3" charset="-122"/>
              <a:ea typeface="仿宋_GB2312" panose="02010609030101010101" pitchFamily="3" charset="-122"/>
              <a:cs typeface="仿宋_GB2312" panose="02010609030101010101" pitchFamily="3" charset="-122"/>
            </a:endParaRP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1"/>
              </a:solidFill>
              <a:ln>
                <a:solidFill>
                  <a:schemeClr val="bg1"/>
                </a:solidFill>
              </a:ln>
              <a:effectLst/>
            </c:spPr>
          </c:dPt>
          <c:dPt>
            <c:idx val="2"/>
            <c:bubble3D val="0"/>
            <c:spPr>
              <a:solidFill>
                <a:schemeClr val="accent3"/>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[画图草稿.xlsx]Sheet1!$A$61:$A$63</c:f>
              <c:strCache>
                <c:ptCount val="3"/>
                <c:pt idx="0">
                  <c:v>因公出国（境）费</c:v>
                </c:pt>
                <c:pt idx="1">
                  <c:v>公务用车购置及运行维护费</c:v>
                </c:pt>
                <c:pt idx="2">
                  <c:v>公务接待费</c:v>
                </c:pt>
              </c:strCache>
            </c:strRef>
          </c:cat>
          <c:val>
            <c:numRef>
              <c:f>[画图草稿.xlsx]Sheet1!$B$61:$B$63</c:f>
              <c:numCache>
                <c:formatCode>0.00%</c:formatCode>
                <c:ptCount val="3"/>
                <c:pt idx="0">
                  <c:v>0</c:v>
                </c:pt>
                <c:pt idx="1">
                  <c:v>0.8112</c:v>
                </c:pt>
                <c:pt idx="2">
                  <c:v>0.1888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96feefa-a984-4c46-a1cd-a24b926ed3b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29</Pages>
  <Words>8992</Words>
  <Characters>10111</Characters>
  <Lines>61</Lines>
  <Paragraphs>17</Paragraphs>
  <TotalTime>13</TotalTime>
  <ScaleCrop>false</ScaleCrop>
  <LinksUpToDate>false</LinksUpToDate>
  <CharactersWithSpaces>10231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2020-08-08T17:49:00Z</dcterms:created>
  <dc:creator>曹颖</dc:creator>
  <cp:lastModifiedBy>二瓶敌敌畏、</cp:lastModifiedBy>
  <cp:lastPrinted>2026-08-03T09:27:00Z</cp:lastPrinted>
  <dcterms:modified xsi:type="dcterms:W3CDTF">2026-08-27T08:34:14Z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DB8286F1E12041A6A1261695E60CE382_13</vt:lpwstr>
  </property>
  <property fmtid="{D5CDD505-2E9C-101B-9397-08002B2CF9AE}" pid="4" name="KSOTemplateDocerSaveRecord">
    <vt:lpwstr>eyJoZGlkIjoiODQ3YjA1MGRiMzFkMmViNWIzNzI1ZTBmMDY4OTI2MjEiLCJ1c2VySWQiOiIzMDg0OTM2NzEifQ==</vt:lpwstr>
  </property>
</Properties>
</file>